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B4C3" w14:textId="77777777" w:rsidR="00ED7DDD" w:rsidRPr="00ED7DDD" w:rsidRDefault="00ED7DDD" w:rsidP="00ED7DDD">
      <w:pPr>
        <w:pStyle w:val="Heading1"/>
        <w:rPr>
          <w:color w:val="auto"/>
        </w:rPr>
      </w:pPr>
      <w:r w:rsidRPr="00ED7DDD">
        <w:rPr>
          <w:color w:val="auto"/>
        </w:rPr>
        <w:t xml:space="preserve">COBRA </w:t>
      </w:r>
      <w:r>
        <w:rPr>
          <w:color w:val="auto"/>
        </w:rPr>
        <w:t>I</w:t>
      </w:r>
      <w:r w:rsidRPr="00ED7DDD">
        <w:rPr>
          <w:color w:val="auto"/>
        </w:rPr>
        <w:t xml:space="preserve">nitial </w:t>
      </w:r>
      <w:r>
        <w:rPr>
          <w:color w:val="auto"/>
        </w:rPr>
        <w:t>N</w:t>
      </w:r>
      <w:r w:rsidRPr="00ED7DDD">
        <w:rPr>
          <w:color w:val="auto"/>
        </w:rPr>
        <w:t>otice</w:t>
      </w:r>
    </w:p>
    <w:p w14:paraId="21B98EF5" w14:textId="77777777" w:rsidR="00ED7DDD" w:rsidRPr="00ED7DDD" w:rsidRDefault="00ED7DDD" w:rsidP="00ED7DDD">
      <w:pPr>
        <w:pStyle w:val="Heading2"/>
        <w:rPr>
          <w:color w:val="auto"/>
        </w:rPr>
      </w:pPr>
      <w:r w:rsidRPr="00ED7DDD">
        <w:rPr>
          <w:color w:val="auto"/>
        </w:rPr>
        <w:t xml:space="preserve">Instructions for issuing this notice </w:t>
      </w:r>
    </w:p>
    <w:p w14:paraId="66AE190E" w14:textId="77777777" w:rsidR="00ED7DDD" w:rsidRPr="00074B00" w:rsidRDefault="00ED7DDD" w:rsidP="00ED7DDD">
      <w:pPr>
        <w:rPr>
          <w:rFonts w:cs="Arial"/>
        </w:rPr>
      </w:pPr>
      <w:r w:rsidRPr="00074B00">
        <w:rPr>
          <w:rFonts w:cs="Arial"/>
        </w:rPr>
        <w:t xml:space="preserve">This notice should be provided each time an individual begins coverage under a PEBA </w:t>
      </w:r>
      <w:r w:rsidRPr="00074B00">
        <w:t xml:space="preserve">health plan, </w:t>
      </w:r>
      <w:r w:rsidR="0037539B">
        <w:t>Basic</w:t>
      </w:r>
      <w:r w:rsidRPr="00074B00">
        <w:t xml:space="preserve"> Dental, Dental Plus, the State Vision Plan and/or a MoneyPlus Medical Spending Account</w:t>
      </w:r>
      <w:r w:rsidRPr="00074B00">
        <w:rPr>
          <w:rFonts w:cs="Arial"/>
        </w:rPr>
        <w:t>.</w:t>
      </w:r>
    </w:p>
    <w:tbl>
      <w:tblPr>
        <w:tblW w:w="10800" w:type="dxa"/>
        <w:tblInd w:w="-5"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ook w:val="0000" w:firstRow="0" w:lastRow="0" w:firstColumn="0" w:lastColumn="0" w:noHBand="0" w:noVBand="0"/>
      </w:tblPr>
      <w:tblGrid>
        <w:gridCol w:w="2160"/>
        <w:gridCol w:w="2880"/>
        <w:gridCol w:w="5760"/>
      </w:tblGrid>
      <w:tr w:rsidR="00ED7DDD" w:rsidRPr="00637F87" w14:paraId="49882125" w14:textId="77777777" w:rsidTr="00637F87">
        <w:trPr>
          <w:trHeight w:val="341"/>
        </w:trPr>
        <w:tc>
          <w:tcPr>
            <w:tcW w:w="2160" w:type="dxa"/>
            <w:shd w:val="clear" w:color="auto" w:fill="000000"/>
            <w:vAlign w:val="center"/>
          </w:tcPr>
          <w:p w14:paraId="400415F0" w14:textId="77777777" w:rsidR="00ED7DDD" w:rsidRPr="00637F87" w:rsidRDefault="00ED7DDD" w:rsidP="00ED7DDD">
            <w:pPr>
              <w:pStyle w:val="NoSpacing"/>
              <w:rPr>
                <w:color w:val="FFFFFF"/>
              </w:rPr>
            </w:pPr>
            <w:r w:rsidRPr="00637F87">
              <w:rPr>
                <w:color w:val="FFFFFF"/>
              </w:rPr>
              <w:t>Coverage level</w:t>
            </w:r>
          </w:p>
        </w:tc>
        <w:tc>
          <w:tcPr>
            <w:tcW w:w="2880" w:type="dxa"/>
            <w:shd w:val="clear" w:color="auto" w:fill="000000"/>
            <w:vAlign w:val="center"/>
          </w:tcPr>
          <w:p w14:paraId="77CA6895" w14:textId="77777777" w:rsidR="00ED7DDD" w:rsidRPr="00637F87" w:rsidRDefault="00ED7DDD" w:rsidP="00ED7DDD">
            <w:pPr>
              <w:pStyle w:val="NoSpacing"/>
              <w:rPr>
                <w:color w:val="FFFFFF"/>
              </w:rPr>
            </w:pPr>
            <w:r w:rsidRPr="00637F87">
              <w:rPr>
                <w:color w:val="FFFFFF"/>
              </w:rPr>
              <w:t>Where name is indicated, use first and last name(s)</w:t>
            </w:r>
          </w:p>
        </w:tc>
        <w:tc>
          <w:tcPr>
            <w:tcW w:w="5760" w:type="dxa"/>
            <w:shd w:val="clear" w:color="auto" w:fill="000000"/>
            <w:vAlign w:val="center"/>
          </w:tcPr>
          <w:p w14:paraId="2B1B1883" w14:textId="77777777" w:rsidR="00ED7DDD" w:rsidRPr="00637F87" w:rsidRDefault="00ED7DDD" w:rsidP="00ED7DDD">
            <w:pPr>
              <w:pStyle w:val="NoSpacing"/>
              <w:rPr>
                <w:color w:val="FFFFFF"/>
              </w:rPr>
            </w:pPr>
            <w:r w:rsidRPr="00637F87">
              <w:rPr>
                <w:color w:val="FFFFFF"/>
              </w:rPr>
              <w:t>Where to send (via 1</w:t>
            </w:r>
            <w:r w:rsidRPr="00637F87">
              <w:rPr>
                <w:color w:val="FFFFFF"/>
                <w:vertAlign w:val="superscript"/>
              </w:rPr>
              <w:t xml:space="preserve">st </w:t>
            </w:r>
            <w:r w:rsidRPr="00637F87">
              <w:rPr>
                <w:color w:val="FFFFFF"/>
              </w:rPr>
              <w:t>class mail)</w:t>
            </w:r>
          </w:p>
        </w:tc>
      </w:tr>
      <w:tr w:rsidR="00ED7DDD" w:rsidRPr="00637F87" w14:paraId="18AA4778" w14:textId="77777777" w:rsidTr="00637F87">
        <w:tc>
          <w:tcPr>
            <w:tcW w:w="2160" w:type="dxa"/>
          </w:tcPr>
          <w:p w14:paraId="066C7431" w14:textId="77777777" w:rsidR="00ED7DDD" w:rsidRPr="00637F87" w:rsidRDefault="00ED7DDD" w:rsidP="00ED7DDD">
            <w:pPr>
              <w:pStyle w:val="NoSpacing"/>
              <w:rPr>
                <w:b w:val="0"/>
                <w:bCs/>
              </w:rPr>
            </w:pPr>
            <w:r w:rsidRPr="00637F87">
              <w:rPr>
                <w:b w:val="0"/>
                <w:bCs/>
              </w:rPr>
              <w:t>Subscriber only</w:t>
            </w:r>
          </w:p>
        </w:tc>
        <w:tc>
          <w:tcPr>
            <w:tcW w:w="2880" w:type="dxa"/>
          </w:tcPr>
          <w:p w14:paraId="09B236EC" w14:textId="77777777" w:rsidR="00ED7DDD" w:rsidRPr="00637F87" w:rsidRDefault="00ED7DDD" w:rsidP="00ED7DDD">
            <w:pPr>
              <w:pStyle w:val="NoSpacing"/>
              <w:rPr>
                <w:b w:val="0"/>
                <w:bCs/>
              </w:rPr>
            </w:pPr>
            <w:r w:rsidRPr="00637F87">
              <w:rPr>
                <w:b w:val="0"/>
                <w:bCs/>
              </w:rPr>
              <w:t>John Smith</w:t>
            </w:r>
          </w:p>
        </w:tc>
        <w:tc>
          <w:tcPr>
            <w:tcW w:w="5760" w:type="dxa"/>
          </w:tcPr>
          <w:p w14:paraId="14F1BB47" w14:textId="77777777" w:rsidR="00ED7DDD" w:rsidRPr="00637F87" w:rsidRDefault="00ED7DDD" w:rsidP="00ED7DDD">
            <w:pPr>
              <w:pStyle w:val="NoSpacing"/>
              <w:rPr>
                <w:b w:val="0"/>
                <w:bCs/>
              </w:rPr>
            </w:pPr>
            <w:r w:rsidRPr="00637F87">
              <w:rPr>
                <w:b w:val="0"/>
                <w:bCs/>
              </w:rPr>
              <w:t>Send to last known address.</w:t>
            </w:r>
          </w:p>
        </w:tc>
      </w:tr>
      <w:tr w:rsidR="00ED7DDD" w:rsidRPr="00637F87" w14:paraId="12CAE5F0" w14:textId="77777777" w:rsidTr="00637F87">
        <w:tc>
          <w:tcPr>
            <w:tcW w:w="2160" w:type="dxa"/>
          </w:tcPr>
          <w:p w14:paraId="578494AB" w14:textId="77777777" w:rsidR="00ED7DDD" w:rsidRPr="00637F87" w:rsidRDefault="00ED7DDD" w:rsidP="00ED7DDD">
            <w:pPr>
              <w:pStyle w:val="NoSpacing"/>
              <w:rPr>
                <w:b w:val="0"/>
                <w:bCs/>
              </w:rPr>
            </w:pPr>
            <w:r w:rsidRPr="00637F87">
              <w:rPr>
                <w:b w:val="0"/>
                <w:bCs/>
              </w:rPr>
              <w:t>Subscriber/spouse</w:t>
            </w:r>
          </w:p>
        </w:tc>
        <w:tc>
          <w:tcPr>
            <w:tcW w:w="2880" w:type="dxa"/>
          </w:tcPr>
          <w:p w14:paraId="1448484E" w14:textId="77777777" w:rsidR="00ED7DDD" w:rsidRPr="00637F87" w:rsidRDefault="00ED7DDD" w:rsidP="00ED7DDD">
            <w:pPr>
              <w:pStyle w:val="NoSpacing"/>
              <w:rPr>
                <w:b w:val="0"/>
                <w:bCs/>
              </w:rPr>
            </w:pPr>
            <w:r w:rsidRPr="00637F87">
              <w:rPr>
                <w:b w:val="0"/>
                <w:bCs/>
              </w:rPr>
              <w:t>John Smith/Mary Smith</w:t>
            </w:r>
          </w:p>
        </w:tc>
        <w:tc>
          <w:tcPr>
            <w:tcW w:w="5760" w:type="dxa"/>
          </w:tcPr>
          <w:p w14:paraId="340A8631" w14:textId="77777777" w:rsidR="00ED7DDD" w:rsidRPr="00637F87" w:rsidRDefault="00ED7DDD" w:rsidP="00ED7DDD">
            <w:pPr>
              <w:pStyle w:val="NoSpacing"/>
              <w:rPr>
                <w:b w:val="0"/>
                <w:bCs/>
              </w:rPr>
            </w:pPr>
            <w:r w:rsidRPr="00637F87">
              <w:rPr>
                <w:b w:val="0"/>
                <w:bCs/>
              </w:rPr>
              <w:t>Send one letter to last known address if residence is the same. If employee and spouse live at separate addresses, then send separately to both addresses.</w:t>
            </w:r>
          </w:p>
        </w:tc>
      </w:tr>
      <w:tr w:rsidR="00ED7DDD" w:rsidRPr="00637F87" w14:paraId="6B368A95" w14:textId="77777777" w:rsidTr="00637F87">
        <w:tc>
          <w:tcPr>
            <w:tcW w:w="2160" w:type="dxa"/>
          </w:tcPr>
          <w:p w14:paraId="0CE3DD64" w14:textId="77777777" w:rsidR="00ED7DDD" w:rsidRPr="00637F87" w:rsidRDefault="00ED7DDD" w:rsidP="00ED7DDD">
            <w:pPr>
              <w:pStyle w:val="NoSpacing"/>
              <w:rPr>
                <w:b w:val="0"/>
                <w:bCs/>
              </w:rPr>
            </w:pPr>
            <w:r w:rsidRPr="00637F87">
              <w:rPr>
                <w:b w:val="0"/>
                <w:bCs/>
              </w:rPr>
              <w:t>Subscriber/child(ren)</w:t>
            </w:r>
          </w:p>
        </w:tc>
        <w:tc>
          <w:tcPr>
            <w:tcW w:w="2880" w:type="dxa"/>
          </w:tcPr>
          <w:p w14:paraId="1CB0F775" w14:textId="77777777" w:rsidR="00ED7DDD" w:rsidRPr="00637F87" w:rsidRDefault="00ED7DDD" w:rsidP="00ED7DDD">
            <w:pPr>
              <w:pStyle w:val="NoSpacing"/>
              <w:rPr>
                <w:b w:val="0"/>
                <w:bCs/>
              </w:rPr>
            </w:pPr>
            <w:r w:rsidRPr="00637F87">
              <w:rPr>
                <w:b w:val="0"/>
                <w:bCs/>
              </w:rPr>
              <w:t>John Smith and Covered Child(ren)*</w:t>
            </w:r>
          </w:p>
        </w:tc>
        <w:tc>
          <w:tcPr>
            <w:tcW w:w="5760" w:type="dxa"/>
          </w:tcPr>
          <w:p w14:paraId="4C120AD6" w14:textId="77777777" w:rsidR="00ED7DDD" w:rsidRPr="00637F87" w:rsidRDefault="00ED7DDD" w:rsidP="00ED7DDD">
            <w:pPr>
              <w:pStyle w:val="NoSpacing"/>
              <w:rPr>
                <w:b w:val="0"/>
                <w:bCs/>
              </w:rPr>
            </w:pPr>
            <w:r w:rsidRPr="00637F87">
              <w:rPr>
                <w:b w:val="0"/>
                <w:bCs/>
              </w:rPr>
              <w:t>Same as above.</w:t>
            </w:r>
          </w:p>
        </w:tc>
      </w:tr>
      <w:tr w:rsidR="00ED7DDD" w:rsidRPr="00637F87" w14:paraId="6360055D" w14:textId="77777777" w:rsidTr="00637F87">
        <w:tc>
          <w:tcPr>
            <w:tcW w:w="2160" w:type="dxa"/>
          </w:tcPr>
          <w:p w14:paraId="266F63FA" w14:textId="77777777" w:rsidR="00ED7DDD" w:rsidRPr="00637F87" w:rsidRDefault="00ED7DDD" w:rsidP="00ED7DDD">
            <w:pPr>
              <w:pStyle w:val="NoSpacing"/>
              <w:rPr>
                <w:b w:val="0"/>
                <w:bCs/>
              </w:rPr>
            </w:pPr>
            <w:r w:rsidRPr="00637F87">
              <w:rPr>
                <w:b w:val="0"/>
                <w:bCs/>
              </w:rPr>
              <w:t>Full family</w:t>
            </w:r>
          </w:p>
        </w:tc>
        <w:tc>
          <w:tcPr>
            <w:tcW w:w="2880" w:type="dxa"/>
          </w:tcPr>
          <w:p w14:paraId="1A5B2C63" w14:textId="77777777" w:rsidR="00ED7DDD" w:rsidRPr="00637F87" w:rsidRDefault="00ED7DDD" w:rsidP="00ED7DDD">
            <w:pPr>
              <w:pStyle w:val="NoSpacing"/>
              <w:rPr>
                <w:b w:val="0"/>
                <w:bCs/>
              </w:rPr>
            </w:pPr>
            <w:r w:rsidRPr="00637F87">
              <w:rPr>
                <w:b w:val="0"/>
                <w:bCs/>
              </w:rPr>
              <w:t>John Smith</w:t>
            </w:r>
            <w:r w:rsidR="0037539B" w:rsidRPr="00637F87">
              <w:rPr>
                <w:b w:val="0"/>
                <w:bCs/>
              </w:rPr>
              <w:t xml:space="preserve">, </w:t>
            </w:r>
            <w:r w:rsidR="008C07DA" w:rsidRPr="00637F87">
              <w:rPr>
                <w:b w:val="0"/>
                <w:bCs/>
              </w:rPr>
              <w:t>Mary Smith</w:t>
            </w:r>
            <w:r w:rsidRPr="00637F87">
              <w:rPr>
                <w:b w:val="0"/>
                <w:bCs/>
              </w:rPr>
              <w:t xml:space="preserve"> and Covered Child(ren)*</w:t>
            </w:r>
          </w:p>
        </w:tc>
        <w:tc>
          <w:tcPr>
            <w:tcW w:w="5760" w:type="dxa"/>
          </w:tcPr>
          <w:p w14:paraId="36C29F24" w14:textId="77777777" w:rsidR="00ED7DDD" w:rsidRPr="00637F87" w:rsidRDefault="00ED7DDD" w:rsidP="00ED7DDD">
            <w:pPr>
              <w:pStyle w:val="NoSpacing"/>
              <w:rPr>
                <w:b w:val="0"/>
                <w:bCs/>
              </w:rPr>
            </w:pPr>
            <w:r w:rsidRPr="00637F87">
              <w:rPr>
                <w:b w:val="0"/>
                <w:bCs/>
              </w:rPr>
              <w:t>Same as above.</w:t>
            </w:r>
          </w:p>
        </w:tc>
      </w:tr>
    </w:tbl>
    <w:p w14:paraId="75BAA017" w14:textId="77777777" w:rsidR="00ED7DDD" w:rsidRPr="00074B00" w:rsidRDefault="00ED7DDD" w:rsidP="00ED7DDD">
      <w:r w:rsidRPr="00074B00">
        <w:t xml:space="preserve">You may use the term, </w:t>
      </w:r>
      <w:r w:rsidRPr="00074B00">
        <w:rPr>
          <w:i/>
          <w:iCs/>
        </w:rPr>
        <w:t>Covered Child(ren)</w:t>
      </w:r>
      <w:r w:rsidRPr="00074B00">
        <w:t xml:space="preserve">, in the address on the envelope. However, use the </w:t>
      </w:r>
      <w:r w:rsidRPr="00074B00">
        <w:rPr>
          <w:i/>
          <w:iCs/>
        </w:rPr>
        <w:t>first and last name(s)</w:t>
      </w:r>
      <w:r w:rsidRPr="00074B00">
        <w:t xml:space="preserve"> of the covered child(ren) in the </w:t>
      </w:r>
      <w:r w:rsidR="0014061A">
        <w:t>notice</w:t>
      </w:r>
      <w:r w:rsidRPr="00074B00">
        <w:t>, wherever indicated.</w:t>
      </w:r>
    </w:p>
    <w:p w14:paraId="139C945C" w14:textId="77777777" w:rsidR="0014061A" w:rsidRDefault="00ED7DDD" w:rsidP="00ED7DDD">
      <w:r w:rsidRPr="0037539B">
        <w:rPr>
          <w:b/>
          <w:bCs/>
        </w:rPr>
        <w:t xml:space="preserve">Remember, hand delivery to an employee is </w:t>
      </w:r>
      <w:r w:rsidRPr="0037539B">
        <w:rPr>
          <w:b/>
          <w:bCs/>
          <w:i/>
          <w:iCs/>
        </w:rPr>
        <w:t>not</w:t>
      </w:r>
      <w:r w:rsidRPr="0037539B">
        <w:rPr>
          <w:b/>
          <w:bCs/>
        </w:rPr>
        <w:t xml:space="preserve"> </w:t>
      </w:r>
      <w:r w:rsidR="0014061A" w:rsidRPr="0037539B">
        <w:rPr>
          <w:b/>
          <w:bCs/>
        </w:rPr>
        <w:t xml:space="preserve">considered </w:t>
      </w:r>
      <w:r w:rsidRPr="0037539B">
        <w:rPr>
          <w:b/>
          <w:bCs/>
        </w:rPr>
        <w:t xml:space="preserve">notice to </w:t>
      </w:r>
      <w:r w:rsidR="0075405A">
        <w:rPr>
          <w:b/>
          <w:bCs/>
        </w:rPr>
        <w:t xml:space="preserve">a </w:t>
      </w:r>
      <w:r w:rsidRPr="0037539B">
        <w:rPr>
          <w:b/>
          <w:bCs/>
        </w:rPr>
        <w:t>covered</w:t>
      </w:r>
      <w:r w:rsidR="0014061A" w:rsidRPr="0037539B">
        <w:rPr>
          <w:b/>
          <w:bCs/>
        </w:rPr>
        <w:t xml:space="preserve"> spouse or</w:t>
      </w:r>
      <w:r w:rsidRPr="0037539B">
        <w:rPr>
          <w:b/>
          <w:bCs/>
        </w:rPr>
        <w:t xml:space="preserve"> child</w:t>
      </w:r>
      <w:r w:rsidR="0014061A" w:rsidRPr="0037539B">
        <w:rPr>
          <w:b/>
          <w:bCs/>
        </w:rPr>
        <w:t>(ren)</w:t>
      </w:r>
      <w:r w:rsidRPr="00C146B8">
        <w:rPr>
          <w:b/>
          <w:bCs/>
        </w:rPr>
        <w:t>.</w:t>
      </w:r>
      <w:r w:rsidRPr="00C146B8">
        <w:t xml:space="preserve"> </w:t>
      </w:r>
      <w:r w:rsidR="0014061A" w:rsidRPr="0014061A">
        <w:t>A separate notice</w:t>
      </w:r>
      <w:r w:rsidR="0014061A">
        <w:t xml:space="preserve"> should be mailed to the covered spouse and/or child(ren). </w:t>
      </w:r>
    </w:p>
    <w:p w14:paraId="78F44697" w14:textId="77777777" w:rsidR="00ED7DDD" w:rsidRPr="00074B00" w:rsidRDefault="00ED7DDD" w:rsidP="00ED7DDD">
      <w:pPr>
        <w:pStyle w:val="NoSpacing"/>
      </w:pPr>
      <w:r w:rsidRPr="00074B00">
        <w:t>Checklist</w:t>
      </w:r>
    </w:p>
    <w:p w14:paraId="4E44FF66" w14:textId="77777777" w:rsidR="00ED7DDD" w:rsidRPr="00074B00" w:rsidRDefault="0014061A" w:rsidP="00ED7DDD">
      <w:pPr>
        <w:pStyle w:val="ListParagraph"/>
        <w:numPr>
          <w:ilvl w:val="0"/>
          <w:numId w:val="33"/>
        </w:numPr>
      </w:pPr>
      <w:r>
        <w:t>Completed</w:t>
      </w:r>
      <w:r w:rsidR="00ED7DDD" w:rsidRPr="00074B00">
        <w:t xml:space="preserve"> all areas indicated in red</w:t>
      </w:r>
      <w:r w:rsidR="00ED7DDD">
        <w:t>.</w:t>
      </w:r>
    </w:p>
    <w:p w14:paraId="4806BF4D" w14:textId="77777777" w:rsidR="00ED7DDD" w:rsidRPr="00074B00" w:rsidRDefault="00ED7DDD" w:rsidP="00ED7DDD">
      <w:pPr>
        <w:pStyle w:val="ListParagraph"/>
        <w:numPr>
          <w:ilvl w:val="0"/>
          <w:numId w:val="33"/>
        </w:numPr>
      </w:pPr>
      <w:r w:rsidRPr="00074B00">
        <w:t xml:space="preserve">Included a copy of </w:t>
      </w:r>
      <w:r w:rsidRPr="00ED7DDD">
        <w:rPr>
          <w:i/>
        </w:rPr>
        <w:t>Your Rights and Obligations under COBRA</w:t>
      </w:r>
      <w:r>
        <w:t>.</w:t>
      </w:r>
    </w:p>
    <w:p w14:paraId="45E5BF3E" w14:textId="77777777" w:rsidR="00ED7DDD" w:rsidRPr="00074B00" w:rsidRDefault="00ED7DDD" w:rsidP="00ED7DDD">
      <w:pPr>
        <w:pStyle w:val="ListParagraph"/>
        <w:numPr>
          <w:ilvl w:val="0"/>
          <w:numId w:val="33"/>
        </w:numPr>
      </w:pPr>
      <w:r w:rsidRPr="00074B00">
        <w:t>Copied entire notice with enclosures for the employee’s file</w:t>
      </w:r>
      <w:r w:rsidR="002E48BF">
        <w:t>.</w:t>
      </w:r>
    </w:p>
    <w:p w14:paraId="19E6984D" w14:textId="77777777" w:rsidR="00ED7DDD" w:rsidRPr="00ED7DDD" w:rsidRDefault="00ED7DDD" w:rsidP="00ED7DDD">
      <w:pPr>
        <w:pStyle w:val="Heading1"/>
        <w:jc w:val="center"/>
        <w:rPr>
          <w:color w:val="auto"/>
        </w:rPr>
      </w:pPr>
      <w:r w:rsidRPr="00074B00">
        <w:rPr>
          <w:rFonts w:ascii="Calibri" w:hAnsi="Calibri"/>
          <w:sz w:val="22"/>
          <w:szCs w:val="22"/>
        </w:rPr>
        <w:br w:type="page"/>
      </w:r>
      <w:r w:rsidRPr="00ED7DDD">
        <w:rPr>
          <w:color w:val="auto"/>
        </w:rPr>
        <w:lastRenderedPageBreak/>
        <w:t xml:space="preserve">Initial </w:t>
      </w:r>
      <w:r w:rsidR="0014061A">
        <w:rPr>
          <w:color w:val="auto"/>
        </w:rPr>
        <w:t>N</w:t>
      </w:r>
      <w:r w:rsidRPr="00ED7DDD">
        <w:rPr>
          <w:color w:val="auto"/>
        </w:rPr>
        <w:t>otice</w:t>
      </w:r>
    </w:p>
    <w:p w14:paraId="3E6D6F3B" w14:textId="77777777" w:rsidR="00ED7DDD" w:rsidRPr="00ED7DDD" w:rsidRDefault="00ED7DDD" w:rsidP="00ED7DDD">
      <w:pPr>
        <w:pStyle w:val="Heading1"/>
        <w:jc w:val="center"/>
        <w:rPr>
          <w:color w:val="auto"/>
        </w:rPr>
      </w:pPr>
      <w:r w:rsidRPr="00ED7DDD">
        <w:rPr>
          <w:color w:val="auto"/>
        </w:rPr>
        <w:t>Continuation coverage rights under COBRA</w:t>
      </w:r>
    </w:p>
    <w:p w14:paraId="0750F930" w14:textId="77777777" w:rsidR="00ED7DDD" w:rsidRPr="00074B00" w:rsidRDefault="00ED7DDD" w:rsidP="00ED7DDD">
      <w:pPr>
        <w:spacing w:after="120"/>
        <w:rPr>
          <w:rFonts w:cs="Arial"/>
          <w:b/>
        </w:rPr>
      </w:pPr>
    </w:p>
    <w:p w14:paraId="4874563E" w14:textId="77777777" w:rsidR="00ED7DDD" w:rsidRPr="00074B00" w:rsidRDefault="00ED7DDD" w:rsidP="00ED7DDD">
      <w:pPr>
        <w:tabs>
          <w:tab w:val="left" w:pos="1260"/>
        </w:tabs>
      </w:pPr>
      <w:r w:rsidRPr="00074B00">
        <w:t>TO:</w:t>
      </w:r>
      <w:r w:rsidRPr="00074B00">
        <w:tab/>
      </w:r>
      <w:r w:rsidR="00EA6FBD">
        <w:rPr>
          <w:color w:val="FF0000"/>
        </w:rPr>
        <w:t>[</w:t>
      </w:r>
      <w:r w:rsidRPr="00ED7DDD">
        <w:rPr>
          <w:color w:val="FF0000"/>
        </w:rPr>
        <w:t>List individual names of all plan participants - first and last name</w:t>
      </w:r>
      <w:r w:rsidR="00EA6FBD">
        <w:rPr>
          <w:color w:val="FF0000"/>
        </w:rPr>
        <w:t>]</w:t>
      </w:r>
    </w:p>
    <w:p w14:paraId="321D5E05" w14:textId="77777777" w:rsidR="00ED7DDD" w:rsidRPr="00ED7DDD" w:rsidRDefault="00ED7DDD" w:rsidP="00ED7DDD">
      <w:pPr>
        <w:tabs>
          <w:tab w:val="left" w:pos="1260"/>
        </w:tabs>
      </w:pPr>
      <w:r w:rsidRPr="00074B00">
        <w:t>ADDRESS:</w:t>
      </w:r>
      <w:r w:rsidRPr="00074B00">
        <w:tab/>
      </w:r>
      <w:r w:rsidR="00EA6FBD" w:rsidRPr="00EA6FBD">
        <w:rPr>
          <w:color w:val="FF0000"/>
        </w:rPr>
        <w:t>[</w:t>
      </w:r>
      <w:r w:rsidRPr="00ED7DDD">
        <w:rPr>
          <w:rFonts w:cs="Arial"/>
          <w:color w:val="FF0000"/>
        </w:rPr>
        <w:t>Enter last known address</w:t>
      </w:r>
      <w:r w:rsidR="00EA6FBD">
        <w:rPr>
          <w:rFonts w:cs="Arial"/>
          <w:color w:val="FF0000"/>
        </w:rPr>
        <w:t>]</w:t>
      </w:r>
    </w:p>
    <w:p w14:paraId="2BACA2F6" w14:textId="77777777" w:rsidR="00ED7DDD" w:rsidRPr="00074B00" w:rsidRDefault="00ED7DDD" w:rsidP="00ED7DDD">
      <w:pPr>
        <w:tabs>
          <w:tab w:val="left" w:pos="1260"/>
        </w:tabs>
      </w:pPr>
      <w:r w:rsidRPr="00074B00">
        <w:t>FROM:</w:t>
      </w:r>
      <w:r w:rsidRPr="00074B00">
        <w:tab/>
      </w:r>
      <w:r w:rsidR="00EA6FBD">
        <w:rPr>
          <w:color w:val="FF0000"/>
        </w:rPr>
        <w:t>[</w:t>
      </w:r>
      <w:r w:rsidRPr="00ED7DDD">
        <w:rPr>
          <w:color w:val="FF0000"/>
        </w:rPr>
        <w:t>BA Name</w:t>
      </w:r>
      <w:r w:rsidR="00EA6FBD">
        <w:rPr>
          <w:color w:val="FF0000"/>
        </w:rPr>
        <w:t>]</w:t>
      </w:r>
      <w:r w:rsidR="004E1168" w:rsidRPr="004E1168">
        <w:t xml:space="preserve">, </w:t>
      </w:r>
      <w:r w:rsidRPr="00074B00">
        <w:t xml:space="preserve">Benefits </w:t>
      </w:r>
      <w:r>
        <w:t>a</w:t>
      </w:r>
      <w:r w:rsidRPr="00074B00">
        <w:t>dministrator</w:t>
      </w:r>
    </w:p>
    <w:p w14:paraId="18F4733D" w14:textId="77777777" w:rsidR="00ED7DDD" w:rsidRPr="00ED7DDD" w:rsidRDefault="00ED7DDD" w:rsidP="00ED7DDD">
      <w:pPr>
        <w:tabs>
          <w:tab w:val="left" w:pos="1260"/>
        </w:tabs>
      </w:pPr>
      <w:r w:rsidRPr="00ED7DDD">
        <w:tab/>
      </w:r>
      <w:r w:rsidR="00EA6FBD" w:rsidRPr="00EA6FBD">
        <w:rPr>
          <w:color w:val="FF0000"/>
        </w:rPr>
        <w:t>[</w:t>
      </w:r>
      <w:r w:rsidRPr="00ED7DDD">
        <w:rPr>
          <w:color w:val="FF0000"/>
        </w:rPr>
        <w:t>Employer Name</w:t>
      </w:r>
      <w:r w:rsidR="00EA6FBD">
        <w:rPr>
          <w:color w:val="FF0000"/>
        </w:rPr>
        <w:t>]</w:t>
      </w:r>
    </w:p>
    <w:p w14:paraId="74F5A3A7" w14:textId="77777777" w:rsidR="00ED7DDD" w:rsidRPr="00074B00" w:rsidRDefault="00ED7DDD" w:rsidP="00ED7DDD">
      <w:pPr>
        <w:tabs>
          <w:tab w:val="left" w:pos="1260"/>
        </w:tabs>
      </w:pPr>
      <w:r w:rsidRPr="00074B00">
        <w:t>DATE:</w:t>
      </w:r>
      <w:r w:rsidRPr="00074B00">
        <w:tab/>
      </w:r>
      <w:r w:rsidR="00EA6FBD">
        <w:rPr>
          <w:color w:val="FF0000"/>
        </w:rPr>
        <w:t>[</w:t>
      </w:r>
      <w:r w:rsidRPr="00ED7DDD">
        <w:rPr>
          <w:color w:val="FF0000"/>
        </w:rPr>
        <w:t>Date</w:t>
      </w:r>
      <w:r w:rsidR="00EA6FBD">
        <w:rPr>
          <w:color w:val="FF0000"/>
        </w:rPr>
        <w:t>]</w:t>
      </w:r>
    </w:p>
    <w:p w14:paraId="0E943C3A" w14:textId="77777777" w:rsidR="00ED7DDD" w:rsidRPr="00074B00" w:rsidRDefault="00ED7DDD" w:rsidP="00ED7DDD">
      <w:r w:rsidRPr="00074B00">
        <w:rPr>
          <w:rFonts w:cs="Helvetica"/>
        </w:rPr>
        <w:t xml:space="preserve">You are receiving this notice because you recently became covered under one or more of the </w:t>
      </w:r>
      <w:r w:rsidRPr="00074B00">
        <w:t xml:space="preserve">group health benefits offered by the State of South Carolina Public Employee Benefits Authority (PEBA). This notice has important information about your right to COBRA continuation coverage, which is a temporary extension of coverage under the Plan. </w:t>
      </w:r>
      <w:r w:rsidRPr="00074B00">
        <w:rPr>
          <w:b/>
        </w:rPr>
        <w:t>This notice explains COBRA continuation coverage, when it may become available to you and your family, and what you need to do to protect your right to get it.</w:t>
      </w:r>
      <w:r w:rsidRPr="00074B00">
        <w:t xml:space="preserve"> This notice applies individually to each of the participants listed above, who are covered under one or more of the group health benefits offered by PEBA. The group health benefits include </w:t>
      </w:r>
      <w:r w:rsidR="00084545">
        <w:t>h</w:t>
      </w:r>
      <w:r w:rsidR="00084545" w:rsidRPr="00074B00">
        <w:t>ealth</w:t>
      </w:r>
      <w:r w:rsidRPr="00074B00">
        <w:t xml:space="preserve">, </w:t>
      </w:r>
      <w:r w:rsidR="00084545">
        <w:t>d</w:t>
      </w:r>
      <w:r w:rsidRPr="00074B00">
        <w:t xml:space="preserve">ental, </w:t>
      </w:r>
      <w:r w:rsidR="00084545">
        <w:t>v</w:t>
      </w:r>
      <w:r w:rsidRPr="00074B00">
        <w:t>ision and a MoneyPlus Medical Spending Account. This notice applies only to the group health benefits and does not apply to any other benefits offered through PEBA. When you become eligible for COBRA, you may also become eligible for other coverage options that may cost less than COBRA continuation coverage.</w:t>
      </w:r>
    </w:p>
    <w:p w14:paraId="67D7289A" w14:textId="77777777" w:rsidR="00ED7DDD" w:rsidRPr="00074B00" w:rsidRDefault="00ED7DDD" w:rsidP="00ED7DDD">
      <w:r w:rsidRPr="00074B00">
        <w:t xml:space="preserve">The right to COBRA continuation coverage was created by a federal law, the Consolidated Omnibus Budget Reconciliation Act of 1985 (COBRA). COBRA continuation coverage can become available to you and other members of your family when group health coverage would otherwise end. For more information about your rights and obligations under the Plan and under federal law, you should review the </w:t>
      </w:r>
      <w:hyperlink r:id="rId8" w:history="1">
        <w:r w:rsidR="0075405A" w:rsidRPr="00177988">
          <w:rPr>
            <w:rStyle w:val="Hyperlink"/>
            <w:i/>
            <w:iCs/>
          </w:rPr>
          <w:t>Plan of Benefits</w:t>
        </w:r>
      </w:hyperlink>
      <w:r w:rsidRPr="00074B00">
        <w:t xml:space="preserve"> or contact PEBA.</w:t>
      </w:r>
    </w:p>
    <w:p w14:paraId="443D8A3D" w14:textId="77777777" w:rsidR="00ED7DDD" w:rsidRPr="00074B00" w:rsidRDefault="00ED7DDD" w:rsidP="00ED7DDD">
      <w:r w:rsidRPr="00074B00">
        <w:rPr>
          <w:b/>
        </w:rPr>
        <w:t xml:space="preserve">You may have other options available to you when you lose group health coverage. </w:t>
      </w:r>
      <w:r w:rsidRPr="00074B00">
        <w:t>For example, you may be eligible to buy an individual plan through the Health Insurance Marketplace. By enrolling in coverage through the Marketplace, you may qualify for lower costs on your monthly premiums and lower out-of-pocket costs. Additionally, you may qualify for a 30-day special enrollment period for another group health plan for which you are eligible (such as a spouse’s plan), even if that plan generally doesn’t accept late enrollees.</w:t>
      </w:r>
    </w:p>
    <w:p w14:paraId="07ED2E64" w14:textId="77777777" w:rsidR="00ED7DDD" w:rsidRPr="00074B00" w:rsidRDefault="00ED7DDD" w:rsidP="00ED7DDD">
      <w:r w:rsidRPr="00074B00">
        <w:rPr>
          <w:bCs/>
        </w:rPr>
        <w:t xml:space="preserve">This notice does </w:t>
      </w:r>
      <w:r w:rsidRPr="00074B00">
        <w:rPr>
          <w:bCs/>
          <w:u w:val="single"/>
        </w:rPr>
        <w:t>not</w:t>
      </w:r>
      <w:r w:rsidRPr="00074B00">
        <w:rPr>
          <w:bCs/>
        </w:rPr>
        <w:t xml:space="preserve"> mean you are losing your group health benefits. </w:t>
      </w:r>
      <w:r w:rsidRPr="00ED7DDD">
        <w:rPr>
          <w:b/>
          <w:bCs/>
        </w:rPr>
        <w:t>This notice contains important information about your right to continue your group health benefits under certain circumstances when coverage would otherwise end, as well as other health coverage alternatives that may be available to you through the Health Insurance Marketplace.</w:t>
      </w:r>
      <w:r w:rsidR="00D96490">
        <w:rPr>
          <w:b/>
          <w:bCs/>
        </w:rPr>
        <w:t xml:space="preserve"> </w:t>
      </w:r>
      <w:r w:rsidRPr="00ED7DDD">
        <w:rPr>
          <w:b/>
          <w:bCs/>
        </w:rPr>
        <w:t>It also explains your notification obligations so that you can protect your right to continue coverage.</w:t>
      </w:r>
    </w:p>
    <w:p w14:paraId="311958D8" w14:textId="77777777" w:rsidR="00ED7DDD" w:rsidRPr="00074B00" w:rsidRDefault="00ED7DDD" w:rsidP="00ED7DDD">
      <w:pPr>
        <w:ind w:left="1260" w:hanging="1260"/>
      </w:pPr>
      <w:r w:rsidRPr="00074B00">
        <w:rPr>
          <w:b/>
          <w:bCs/>
        </w:rPr>
        <w:t>Step 1:</w:t>
      </w:r>
      <w:r w:rsidRPr="00074B00">
        <w:t xml:space="preserve"> </w:t>
      </w:r>
      <w:r w:rsidRPr="00074B00">
        <w:tab/>
        <w:t xml:space="preserve">Please read this notice carefully. It is important that </w:t>
      </w:r>
      <w:proofErr w:type="gramStart"/>
      <w:r w:rsidRPr="00074B00">
        <w:rPr>
          <w:b/>
          <w:bCs/>
          <w:u w:val="single"/>
        </w:rPr>
        <w:t>each</w:t>
      </w:r>
      <w:r w:rsidRPr="00074B00">
        <w:t xml:space="preserve"> individual</w:t>
      </w:r>
      <w:proofErr w:type="gramEnd"/>
      <w:r w:rsidRPr="00074B00">
        <w:t xml:space="preserve"> covered under PEBA read this notice and be familiar with the information. </w:t>
      </w:r>
    </w:p>
    <w:p w14:paraId="347217E2" w14:textId="77777777" w:rsidR="00ED7DDD" w:rsidRPr="00074B00" w:rsidRDefault="00ED7DDD" w:rsidP="00ED7DDD">
      <w:pPr>
        <w:ind w:left="1260" w:hanging="1260"/>
      </w:pPr>
      <w:r w:rsidRPr="00074B00">
        <w:rPr>
          <w:b/>
          <w:bCs/>
        </w:rPr>
        <w:t>Step 2:</w:t>
      </w:r>
      <w:r w:rsidRPr="00074B00">
        <w:t xml:space="preserve"> </w:t>
      </w:r>
      <w:r w:rsidRPr="00074B00">
        <w:tab/>
        <w:t xml:space="preserve">If there is a </w:t>
      </w:r>
      <w:r w:rsidRPr="00074B00">
        <w:rPr>
          <w:b/>
          <w:bCs/>
          <w:u w:val="single"/>
        </w:rPr>
        <w:t>covered</w:t>
      </w:r>
      <w:r w:rsidRPr="00074B00">
        <w:t xml:space="preserve"> individual whose legal residence is different from the above address, you are required to provide written notification to the benefits office so that a separate notice can be sent to him. If you ever move, please keep the benefits office informed, so you can continue to receive important information.</w:t>
      </w:r>
      <w:r w:rsidR="00D96490">
        <w:t xml:space="preserve"> </w:t>
      </w:r>
    </w:p>
    <w:p w14:paraId="180B0289" w14:textId="77777777" w:rsidR="00ED7DDD" w:rsidRPr="00074B00" w:rsidRDefault="00ED7DDD" w:rsidP="00ED7DDD">
      <w:pPr>
        <w:ind w:left="1260" w:hanging="1260"/>
      </w:pPr>
      <w:r w:rsidRPr="00074B00">
        <w:rPr>
          <w:b/>
          <w:bCs/>
        </w:rPr>
        <w:t>Step 3:</w:t>
      </w:r>
      <w:r w:rsidRPr="00074B00">
        <w:tab/>
      </w:r>
      <w:r w:rsidRPr="00074B00">
        <w:rPr>
          <w:b/>
          <w:bCs/>
        </w:rPr>
        <w:t xml:space="preserve">Understand Your Notification Obligations. </w:t>
      </w:r>
      <w:r w:rsidRPr="00074B00">
        <w:t xml:space="preserve">Under PEBA’s rules and federal law, you are required to notify the benefits office of certain events (divorce or legal separation from the employee or a covered child ceases to be eligible for coverage through PEBA). Please read carefully the section in the notice that details </w:t>
      </w:r>
      <w:r w:rsidRPr="00074B00">
        <w:rPr>
          <w:b/>
          <w:bCs/>
          <w:u w:val="single"/>
        </w:rPr>
        <w:t>your</w:t>
      </w:r>
      <w:r w:rsidRPr="00074B00">
        <w:t xml:space="preserve"> notification obligations and the appropriate steps to take when making this notification. If you fail to follow the outlined notification procedures, any available rights will be lost.</w:t>
      </w:r>
    </w:p>
    <w:p w14:paraId="796CF58B" w14:textId="77777777" w:rsidR="00ED7DDD" w:rsidRPr="00074B00" w:rsidRDefault="00ED7DDD" w:rsidP="00FA2C0F">
      <w:pPr>
        <w:ind w:left="1260" w:hanging="1260"/>
      </w:pPr>
      <w:r w:rsidRPr="00074B00">
        <w:rPr>
          <w:b/>
          <w:bCs/>
        </w:rPr>
        <w:lastRenderedPageBreak/>
        <w:t>Step 4:</w:t>
      </w:r>
      <w:r w:rsidR="00FA2C0F">
        <w:tab/>
      </w:r>
      <w:r w:rsidRPr="00074B00">
        <w:t>File this notice in your records for future reference.</w:t>
      </w:r>
    </w:p>
    <w:p w14:paraId="6414C30A" w14:textId="77777777" w:rsidR="00ED7DDD" w:rsidRPr="00074B00" w:rsidRDefault="00ED7DDD" w:rsidP="00FA2C0F">
      <w:r w:rsidRPr="00074B00">
        <w:t xml:space="preserve">If you have any questions concerning this notice or your notification obligations, please call me in the benefits office at </w:t>
      </w:r>
      <w:r w:rsidR="00EA6FBD" w:rsidRPr="00EA6FBD">
        <w:rPr>
          <w:color w:val="FF0000"/>
        </w:rPr>
        <w:t>[</w:t>
      </w:r>
      <w:r w:rsidRPr="00EA6FBD">
        <w:rPr>
          <w:color w:val="FF0000"/>
        </w:rPr>
        <w:t>BA’s phone number</w:t>
      </w:r>
      <w:r w:rsidR="00EA6FBD" w:rsidRPr="00EA6FBD">
        <w:rPr>
          <w:color w:val="FF0000"/>
        </w:rPr>
        <w:t>]</w:t>
      </w:r>
      <w:r w:rsidRPr="00074B00">
        <w:t xml:space="preserve">. If you are required to provide a notice to the benefits office, please mail or hand-deliver it to: </w:t>
      </w:r>
      <w:r w:rsidR="00EA6FBD" w:rsidRPr="00EA6FBD">
        <w:rPr>
          <w:color w:val="FF0000"/>
        </w:rPr>
        <w:t>[</w:t>
      </w:r>
      <w:r w:rsidRPr="00EA6FBD">
        <w:rPr>
          <w:color w:val="FF0000"/>
        </w:rPr>
        <w:t>BA’s address</w:t>
      </w:r>
      <w:r w:rsidR="00EA6FBD" w:rsidRPr="00EA6FBD">
        <w:rPr>
          <w:color w:val="FF0000"/>
        </w:rPr>
        <w:t>]</w:t>
      </w:r>
      <w:r w:rsidRPr="00074B00">
        <w:t>.</w:t>
      </w:r>
    </w:p>
    <w:p w14:paraId="0B8B460E" w14:textId="77777777" w:rsidR="00ED7DDD" w:rsidRPr="00FA2C0F" w:rsidRDefault="00ED7DDD" w:rsidP="00FA2C0F">
      <w:r w:rsidRPr="00074B00">
        <w:t xml:space="preserve">Enclosure: </w:t>
      </w:r>
      <w:r w:rsidRPr="00FA2C0F">
        <w:rPr>
          <w:i/>
          <w:iCs/>
        </w:rPr>
        <w:t>Your Rights and Obligations under COBRA</w:t>
      </w:r>
    </w:p>
    <w:p w14:paraId="790B3E61" w14:textId="77777777" w:rsidR="00ED7DDD" w:rsidRPr="00FA2C0F" w:rsidRDefault="00ED7DDD" w:rsidP="00FA2C0F">
      <w:pPr>
        <w:pStyle w:val="Heading1"/>
        <w:jc w:val="center"/>
        <w:rPr>
          <w:color w:val="auto"/>
        </w:rPr>
      </w:pPr>
      <w:r w:rsidRPr="00074B00">
        <w:rPr>
          <w:rFonts w:ascii="Calibri" w:hAnsi="Calibri"/>
          <w:sz w:val="22"/>
          <w:szCs w:val="22"/>
        </w:rPr>
        <w:br w:type="page"/>
      </w:r>
      <w:r w:rsidRPr="00FA2C0F">
        <w:rPr>
          <w:color w:val="auto"/>
        </w:rPr>
        <w:lastRenderedPageBreak/>
        <w:t>Your rights and obligations under COBRA</w:t>
      </w:r>
    </w:p>
    <w:p w14:paraId="3F651164" w14:textId="77777777" w:rsidR="00ED7DDD" w:rsidRPr="00FA2C0F" w:rsidRDefault="00ED7DDD" w:rsidP="00FA2C0F">
      <w:pPr>
        <w:pStyle w:val="Heading2"/>
        <w:rPr>
          <w:rFonts w:eastAsia="Arial Unicode MS"/>
          <w:color w:val="auto"/>
        </w:rPr>
      </w:pPr>
      <w:r w:rsidRPr="00FA2C0F">
        <w:rPr>
          <w:color w:val="auto"/>
        </w:rPr>
        <w:t xml:space="preserve">What is COBRA continuation coverage? </w:t>
      </w:r>
    </w:p>
    <w:p w14:paraId="2358F070" w14:textId="77777777" w:rsidR="00ED7DDD" w:rsidRPr="00074B00" w:rsidRDefault="00ED7DDD" w:rsidP="00FA2C0F">
      <w:r w:rsidRPr="00074B00">
        <w:t>Under the federal Consolidated Omnibus Budget Reconciliation Act of 1985 (COBRA), coverage under the State of South Carolina Public Employee Benefits Authority (PEBA) may be continued when it otherwise would end due to a qualifying event.</w:t>
      </w:r>
      <w:r w:rsidR="00D96490">
        <w:t xml:space="preserve"> </w:t>
      </w:r>
      <w:r w:rsidRPr="00074B00">
        <w:t xml:space="preserve">This continuation of coverage is typically referred to as “COBRA coverage” but it is </w:t>
      </w:r>
      <w:proofErr w:type="gramStart"/>
      <w:r w:rsidRPr="00074B00">
        <w:t>actually the</w:t>
      </w:r>
      <w:proofErr w:type="gramEnd"/>
      <w:r w:rsidRPr="00074B00">
        <w:t xml:space="preserve"> same coverage that PEBA gives to other participants or beneficiaries under the state insurance program who are not receiving COBRA coverage.</w:t>
      </w:r>
      <w:r w:rsidR="00D96490">
        <w:t xml:space="preserve"> </w:t>
      </w:r>
      <w:r w:rsidRPr="00074B00">
        <w:t>Each qualified beneficiary who elects COBRA coverage will have the same rights as other participants or beneficiaries, including open enrollment and special enrollment rights.</w:t>
      </w:r>
    </w:p>
    <w:p w14:paraId="260CBAA0" w14:textId="77777777" w:rsidR="00ED7DDD" w:rsidRPr="00074B00" w:rsidRDefault="00ED7DDD" w:rsidP="00FA2C0F">
      <w:r w:rsidRPr="00074B00">
        <w:t xml:space="preserve">COBRA (and the description of COBRA coverage contained in this notice) applies only to the group health benefits offered by PEBA (health, </w:t>
      </w:r>
      <w:r w:rsidR="00084545">
        <w:t>dental</w:t>
      </w:r>
      <w:r w:rsidRPr="00074B00">
        <w:t>, vision, and MoneyPlus Medical Spending Account) and not to any other benefits offered by PEBA.</w:t>
      </w:r>
    </w:p>
    <w:p w14:paraId="51605FF8" w14:textId="77777777" w:rsidR="00ED7DDD" w:rsidRPr="00074B00" w:rsidRDefault="00ED7DDD" w:rsidP="00FA2C0F">
      <w:r w:rsidRPr="00074B00">
        <w:t>PEBA provides no greater COBRA rights than what COBRA requires—nothing in this notice is intended to expand your rights beyond COBRA’s requirements.</w:t>
      </w:r>
    </w:p>
    <w:p w14:paraId="794E90BF" w14:textId="77777777" w:rsidR="00ED7DDD" w:rsidRPr="00FA2C0F" w:rsidRDefault="00ED7DDD" w:rsidP="00FA2C0F">
      <w:pPr>
        <w:pStyle w:val="Heading2"/>
        <w:rPr>
          <w:color w:val="auto"/>
        </w:rPr>
      </w:pPr>
      <w:r w:rsidRPr="00FA2C0F">
        <w:rPr>
          <w:color w:val="auto"/>
        </w:rPr>
        <w:t>Who is entitled to elect COBRA coverage?</w:t>
      </w:r>
    </w:p>
    <w:p w14:paraId="5613DF8E" w14:textId="77777777" w:rsidR="00ED7DDD" w:rsidRPr="00074B00" w:rsidRDefault="00ED7DDD" w:rsidP="00FA2C0F">
      <w:r w:rsidRPr="00074B00">
        <w:t xml:space="preserve">If a qualified beneficiary loses coverage under group health benefits due to one of the qualifying events listed below, the qualified beneficiary will be allowed to continue group health benefits for a specified </w:t>
      </w:r>
      <w:proofErr w:type="gramStart"/>
      <w:r w:rsidRPr="00074B00">
        <w:t>period of time</w:t>
      </w:r>
      <w:proofErr w:type="gramEnd"/>
      <w:r w:rsidRPr="00074B00">
        <w:t xml:space="preserve"> at group rates.</w:t>
      </w:r>
      <w:r w:rsidR="00D96490">
        <w:t xml:space="preserve"> </w:t>
      </w:r>
      <w:r w:rsidRPr="00074B00">
        <w:t xml:space="preserve">After a qualifying event occurs and any required notice of that event is properly provided to the benefits office, COBRA coverage will be offered to each qualified beneficiary who is losing coverage </w:t>
      </w:r>
      <w:proofErr w:type="gramStart"/>
      <w:r w:rsidRPr="00074B00">
        <w:t>as a result of</w:t>
      </w:r>
      <w:proofErr w:type="gramEnd"/>
      <w:r w:rsidRPr="00074B00">
        <w:t xml:space="preserve"> that event.</w:t>
      </w:r>
    </w:p>
    <w:p w14:paraId="53742147" w14:textId="77777777" w:rsidR="00ED7DDD" w:rsidRPr="00FA2C0F" w:rsidRDefault="00ED7DDD" w:rsidP="00FA2C0F">
      <w:pPr>
        <w:pStyle w:val="Heading2"/>
        <w:rPr>
          <w:color w:val="auto"/>
        </w:rPr>
      </w:pPr>
      <w:r w:rsidRPr="00FA2C0F">
        <w:rPr>
          <w:color w:val="auto"/>
        </w:rPr>
        <w:t>Who is a qualified beneficiary?</w:t>
      </w:r>
    </w:p>
    <w:p w14:paraId="292D80B4" w14:textId="77777777" w:rsidR="00ED7DDD" w:rsidRPr="00074B00" w:rsidRDefault="00ED7DDD" w:rsidP="00FA2C0F">
      <w:r w:rsidRPr="00074B00">
        <w:t>To be a qualified beneficiary, a person:</w:t>
      </w:r>
    </w:p>
    <w:p w14:paraId="51AF400C" w14:textId="77777777" w:rsidR="00ED7DDD" w:rsidRPr="00074B00" w:rsidRDefault="00ED7DDD" w:rsidP="00FA2C0F">
      <w:pPr>
        <w:pStyle w:val="ListParagraph"/>
      </w:pPr>
      <w:r w:rsidRPr="00074B00">
        <w:t xml:space="preserve">Must have been covered (under </w:t>
      </w:r>
      <w:r w:rsidRPr="00D24655">
        <w:rPr>
          <w:rFonts w:cs="Arial"/>
        </w:rPr>
        <w:t>health, dental, v</w:t>
      </w:r>
      <w:r>
        <w:rPr>
          <w:rFonts w:cs="Arial"/>
        </w:rPr>
        <w:t>ision</w:t>
      </w:r>
      <w:r w:rsidRPr="00D24655">
        <w:rPr>
          <w:rFonts w:cs="Arial"/>
        </w:rPr>
        <w:t xml:space="preserve"> </w:t>
      </w:r>
      <w:r w:rsidRPr="00074B00">
        <w:t>and/or a MoneyPlus Medical Spending Account) on the day before the qualifying event; and</w:t>
      </w:r>
    </w:p>
    <w:p w14:paraId="4B38F136" w14:textId="77777777" w:rsidR="00ED7DDD" w:rsidRPr="00074B00" w:rsidRDefault="00ED7DDD" w:rsidP="00FA2C0F">
      <w:pPr>
        <w:pStyle w:val="ListParagraph"/>
      </w:pPr>
      <w:r w:rsidRPr="00074B00">
        <w:t>Must be a covered employee, the covered spouse of the employee or a covered child of the employee.</w:t>
      </w:r>
    </w:p>
    <w:p w14:paraId="628A9130" w14:textId="77777777" w:rsidR="00ED7DDD" w:rsidRPr="00074B00" w:rsidRDefault="00ED7DDD" w:rsidP="00FA2C0F">
      <w:r w:rsidRPr="00074B00">
        <w:t>Two situations may occur during the COBRA coverage period that would cause a child (who was not covered at the time of the qualifying event) to gain the status of a qualified beneficiary. These are addressed later in this notice.</w:t>
      </w:r>
    </w:p>
    <w:p w14:paraId="78F0BFD7" w14:textId="77777777" w:rsidR="00ED7DDD" w:rsidRPr="00FA2C0F" w:rsidRDefault="00ED7DDD" w:rsidP="00FA2C0F">
      <w:pPr>
        <w:pStyle w:val="Heading2"/>
        <w:rPr>
          <w:color w:val="auto"/>
        </w:rPr>
      </w:pPr>
      <w:r w:rsidRPr="00FA2C0F">
        <w:rPr>
          <w:color w:val="auto"/>
        </w:rPr>
        <w:t>What is a qualifying event?</w:t>
      </w:r>
    </w:p>
    <w:p w14:paraId="46FCA067" w14:textId="77777777" w:rsidR="00ED7DDD" w:rsidRPr="00074B00" w:rsidRDefault="00ED7DDD" w:rsidP="00FA2C0F">
      <w:r w:rsidRPr="00074B00">
        <w:t>A qualifying event is a life event that occurs that would cause a qualified beneficiary to lose coverage under group health benefits offered by PEBA (</w:t>
      </w:r>
      <w:r w:rsidRPr="00D24655">
        <w:t>health, dental, v</w:t>
      </w:r>
      <w:r>
        <w:t>ision</w:t>
      </w:r>
      <w:r w:rsidRPr="00D24655">
        <w:t xml:space="preserve"> </w:t>
      </w:r>
      <w:r w:rsidRPr="00074B00">
        <w:t>and/or a MoneyPlus Medical Spending Account).</w:t>
      </w:r>
    </w:p>
    <w:p w14:paraId="64A26EA6" w14:textId="77777777" w:rsidR="00ED7DDD" w:rsidRPr="00074B00" w:rsidRDefault="00ED7DDD" w:rsidP="00FA2C0F">
      <w:r w:rsidRPr="00074B00">
        <w:rPr>
          <w:b/>
        </w:rPr>
        <w:t>For a covered employee</w:t>
      </w:r>
      <w:r w:rsidR="00FA2C0F">
        <w:t>:</w:t>
      </w:r>
      <w:r w:rsidRPr="00074B00">
        <w:t xml:space="preserve"> If you are the covered employee, you will experience a qualifying event and will have the right to elect COBRA coverage </w:t>
      </w:r>
      <w:r w:rsidRPr="00074B00">
        <w:rPr>
          <w:bCs/>
        </w:rPr>
        <w:t>if</w:t>
      </w:r>
      <w:r w:rsidRPr="00074B00">
        <w:t xml:space="preserve"> you lose your group health benefits because any of the following happens:</w:t>
      </w:r>
    </w:p>
    <w:p w14:paraId="467BD156" w14:textId="77777777" w:rsidR="00ED7DDD" w:rsidRPr="00074B00" w:rsidRDefault="00ED7DDD" w:rsidP="00FA2C0F">
      <w:pPr>
        <w:pStyle w:val="ListParagraph"/>
      </w:pPr>
      <w:r w:rsidRPr="00074B00">
        <w:t>Your hours of employment are reduced; or</w:t>
      </w:r>
    </w:p>
    <w:p w14:paraId="171AB3D3" w14:textId="77777777" w:rsidR="00ED7DDD" w:rsidRPr="00074B00" w:rsidRDefault="00ED7DDD" w:rsidP="00FA2C0F">
      <w:pPr>
        <w:pStyle w:val="ListParagraph"/>
      </w:pPr>
      <w:r w:rsidRPr="00074B00">
        <w:t>Your employment ends for any reason other than your gross misconduct.</w:t>
      </w:r>
    </w:p>
    <w:p w14:paraId="7671687C" w14:textId="77777777" w:rsidR="00ED7DDD" w:rsidRPr="00074B00" w:rsidRDefault="00ED7DDD" w:rsidP="00FA2C0F">
      <w:r w:rsidRPr="00074B00">
        <w:rPr>
          <w:b/>
        </w:rPr>
        <w:t>For a covered spouse</w:t>
      </w:r>
      <w:r w:rsidR="00FA2C0F">
        <w:rPr>
          <w:b/>
        </w:rPr>
        <w:t>:</w:t>
      </w:r>
      <w:r w:rsidRPr="00074B00">
        <w:t xml:space="preserve"> If you are the covered spouse of an employee, you will experience a qualifying event and will have the right to elect COBRA coverage </w:t>
      </w:r>
      <w:r w:rsidRPr="00074B00">
        <w:rPr>
          <w:bCs/>
        </w:rPr>
        <w:t>if</w:t>
      </w:r>
      <w:r w:rsidRPr="00074B00">
        <w:t xml:space="preserve"> you lose your group health benefits because any of the following happens:</w:t>
      </w:r>
    </w:p>
    <w:p w14:paraId="77C25E25" w14:textId="77777777" w:rsidR="00ED7DDD" w:rsidRPr="00074B00" w:rsidRDefault="00ED7DDD" w:rsidP="00FA2C0F">
      <w:pPr>
        <w:pStyle w:val="ListParagraph"/>
      </w:pPr>
      <w:r w:rsidRPr="00074B00">
        <w:t xml:space="preserve">Your spouse </w:t>
      </w:r>
      <w:proofErr w:type="gramStart"/>
      <w:r w:rsidRPr="00074B00">
        <w:t>dies;</w:t>
      </w:r>
      <w:proofErr w:type="gramEnd"/>
    </w:p>
    <w:p w14:paraId="76A2B071" w14:textId="77777777" w:rsidR="00ED7DDD" w:rsidRPr="00074B00" w:rsidRDefault="00ED7DDD" w:rsidP="00FA2C0F">
      <w:pPr>
        <w:pStyle w:val="ListParagraph"/>
      </w:pPr>
      <w:r w:rsidRPr="00074B00">
        <w:t xml:space="preserve">Your spouse’s hours of employment are </w:t>
      </w:r>
      <w:proofErr w:type="gramStart"/>
      <w:r w:rsidRPr="00074B00">
        <w:t>reduced;</w:t>
      </w:r>
      <w:proofErr w:type="gramEnd"/>
    </w:p>
    <w:p w14:paraId="5A57DAC2" w14:textId="77777777" w:rsidR="009F0A10" w:rsidRPr="00074B00" w:rsidRDefault="00ED7DDD" w:rsidP="00FA2C0F">
      <w:pPr>
        <w:pStyle w:val="ListParagraph"/>
      </w:pPr>
      <w:r w:rsidRPr="00074B00">
        <w:t>Your spouse’s employment ends for any reason other than his gross misconduct;</w:t>
      </w:r>
      <w:r w:rsidR="009F0A10">
        <w:t xml:space="preserve"> </w:t>
      </w:r>
      <w:r w:rsidRPr="00074B00">
        <w:t>or</w:t>
      </w:r>
    </w:p>
    <w:p w14:paraId="77701A1E" w14:textId="77777777" w:rsidR="00ED7DDD" w:rsidRPr="00074B00" w:rsidRDefault="00ED7DDD" w:rsidP="00FA2C0F">
      <w:pPr>
        <w:pStyle w:val="ListParagraph"/>
      </w:pPr>
      <w:r w:rsidRPr="00074B00">
        <w:t xml:space="preserve">You become divorced or legally separated from your spouse. </w:t>
      </w:r>
      <w:r w:rsidRPr="00FA2C0F">
        <w:rPr>
          <w:u w:val="single"/>
        </w:rPr>
        <w:t xml:space="preserve">Also, if your spouse (the employee) reduces or eliminates your group health benefits in anticipation of a divorce or legal separation, and a divorce or legal </w:t>
      </w:r>
      <w:r w:rsidRPr="00FA2C0F">
        <w:rPr>
          <w:u w:val="single"/>
        </w:rPr>
        <w:lastRenderedPageBreak/>
        <w:t>separation later occurs, then the divorce or legal separation may be considered a qualifying event for you even though your coverage was reduced or eliminated before the divorce or separation.</w:t>
      </w:r>
    </w:p>
    <w:p w14:paraId="22A6E258" w14:textId="77777777" w:rsidR="00ED7DDD" w:rsidRPr="00074B00" w:rsidRDefault="00ED7DDD" w:rsidP="00FA2C0F">
      <w:r w:rsidRPr="00074B00">
        <w:rPr>
          <w:b/>
        </w:rPr>
        <w:t>For a covered child</w:t>
      </w:r>
      <w:r w:rsidR="00FA2C0F">
        <w:rPr>
          <w:b/>
        </w:rPr>
        <w:t>:</w:t>
      </w:r>
      <w:r w:rsidRPr="00074B00">
        <w:t xml:space="preserve"> If you are the covered child of an employee, you will experience a qualifying event and will have the right to elect COBRA coverage </w:t>
      </w:r>
      <w:r w:rsidRPr="00074B00">
        <w:rPr>
          <w:bCs/>
        </w:rPr>
        <w:t>if</w:t>
      </w:r>
      <w:r w:rsidRPr="00074B00">
        <w:t xml:space="preserve"> you lose your group health benefits because any of the following happens:</w:t>
      </w:r>
    </w:p>
    <w:p w14:paraId="7745FDBE" w14:textId="77777777" w:rsidR="00ED7DDD" w:rsidRPr="00074B00" w:rsidRDefault="00ED7DDD" w:rsidP="00FA2C0F">
      <w:pPr>
        <w:pStyle w:val="ListParagraph"/>
      </w:pPr>
      <w:r w:rsidRPr="00074B00">
        <w:t xml:space="preserve">Your parent (the employee) </w:t>
      </w:r>
      <w:proofErr w:type="gramStart"/>
      <w:r w:rsidRPr="00074B00">
        <w:t>dies;</w:t>
      </w:r>
      <w:proofErr w:type="gramEnd"/>
    </w:p>
    <w:p w14:paraId="53244F91" w14:textId="77777777" w:rsidR="00ED7DDD" w:rsidRPr="00074B00" w:rsidRDefault="00ED7DDD" w:rsidP="00FA2C0F">
      <w:pPr>
        <w:pStyle w:val="ListParagraph"/>
      </w:pPr>
      <w:r w:rsidRPr="00074B00">
        <w:t xml:space="preserve">Your parent’s (the employee) hours of employment are </w:t>
      </w:r>
      <w:proofErr w:type="gramStart"/>
      <w:r w:rsidRPr="00074B00">
        <w:t>reduced;</w:t>
      </w:r>
      <w:proofErr w:type="gramEnd"/>
    </w:p>
    <w:p w14:paraId="330D5D18" w14:textId="77777777" w:rsidR="009F0A10" w:rsidRPr="00074B00" w:rsidRDefault="00ED7DDD" w:rsidP="006C1A75">
      <w:pPr>
        <w:pStyle w:val="ListParagraph"/>
      </w:pPr>
      <w:r w:rsidRPr="00074B00">
        <w:t>Your parent’s (the employee) employment ends for any reason other than his gross misconduct; or</w:t>
      </w:r>
    </w:p>
    <w:p w14:paraId="22B93F62" w14:textId="77777777" w:rsidR="00ED7DDD" w:rsidRPr="00074B00" w:rsidRDefault="00ED7DDD" w:rsidP="006C1A75">
      <w:pPr>
        <w:pStyle w:val="ListParagraph"/>
      </w:pPr>
      <w:r w:rsidRPr="00074B00">
        <w:t xml:space="preserve">You stop being eligible for coverage under PEBA as a child (for example, you turn age 26). For more information about when a child ceases to be eligible for coverage under PEBA, please refer to your </w:t>
      </w:r>
      <w:r w:rsidRPr="009F0A10">
        <w:rPr>
          <w:i/>
        </w:rPr>
        <w:t>Insurance Benefits Guide</w:t>
      </w:r>
      <w:r w:rsidRPr="00074B00">
        <w:t>.</w:t>
      </w:r>
    </w:p>
    <w:p w14:paraId="37C14807" w14:textId="77777777" w:rsidR="00ED7DDD" w:rsidRPr="00D96490" w:rsidRDefault="00ED7DDD" w:rsidP="00FA2C0F">
      <w:pPr>
        <w:pStyle w:val="Heading2"/>
        <w:rPr>
          <w:rFonts w:eastAsia="Arial Unicode MS"/>
          <w:color w:val="auto"/>
        </w:rPr>
      </w:pPr>
      <w:r w:rsidRPr="00D96490">
        <w:rPr>
          <w:color w:val="auto"/>
        </w:rPr>
        <w:t>What do you do when a qualifying event occurs?</w:t>
      </w:r>
    </w:p>
    <w:p w14:paraId="0CF4FB94" w14:textId="77777777" w:rsidR="00ED7DDD" w:rsidRPr="00074B00" w:rsidRDefault="00ED7DDD" w:rsidP="00D96490">
      <w:r w:rsidRPr="00074B00">
        <w:rPr>
          <w:b/>
        </w:rPr>
        <w:t>You must give notice of some qualifying events</w:t>
      </w:r>
      <w:r w:rsidRPr="00074B00">
        <w:t>: divorce, legal separation, and a child loses eligibility for coverage.</w:t>
      </w:r>
      <w:r w:rsidR="00D96490">
        <w:t xml:space="preserve"> </w:t>
      </w:r>
      <w:r w:rsidRPr="00074B00">
        <w:t xml:space="preserve">For these qualifying events, the benefits office will offer you COBRA coverage </w:t>
      </w:r>
      <w:r w:rsidRPr="00084545">
        <w:rPr>
          <w:b/>
          <w:bCs/>
        </w:rPr>
        <w:t>only</w:t>
      </w:r>
      <w:r w:rsidRPr="00084545">
        <w:t xml:space="preserve"> if</w:t>
      </w:r>
      <w:r w:rsidRPr="00074B00">
        <w:t xml:space="preserve"> you notify the benefits office within 60 days after the later of: (1) the date of the qualifying event</w:t>
      </w:r>
      <w:smartTag w:uri="urn:schemas-microsoft-com:office:smarttags" w:element="PersonName">
        <w:r w:rsidRPr="00074B00">
          <w:t>;</w:t>
        </w:r>
      </w:smartTag>
      <w:r w:rsidRPr="00074B00">
        <w:t xml:space="preserve"> and (2) the date on which the qualified beneficiary loses (or would lose) coverage under PEBA </w:t>
      </w:r>
      <w:proofErr w:type="gramStart"/>
      <w:r w:rsidRPr="00074B00">
        <w:t>as a result of</w:t>
      </w:r>
      <w:proofErr w:type="gramEnd"/>
      <w:r w:rsidRPr="00074B00">
        <w:t xml:space="preserve"> the qualifying event. To notify the benefits office of these qualifying events, complete the </w:t>
      </w:r>
      <w:r w:rsidRPr="00D96490">
        <w:rPr>
          <w:i/>
          <w:iCs/>
        </w:rPr>
        <w:t>Notice of COBRA Qualifying Event</w:t>
      </w:r>
      <w:r w:rsidRPr="00074B00">
        <w:t xml:space="preserve"> form and deliver it to the benefits office at the address </w:t>
      </w:r>
      <w:r w:rsidR="00FE7F72">
        <w:t>in Step 4 of</w:t>
      </w:r>
      <w:r w:rsidR="00FE7F72" w:rsidRPr="00074B00">
        <w:t xml:space="preserve"> </w:t>
      </w:r>
      <w:r w:rsidRPr="00074B00">
        <w:t xml:space="preserve">the </w:t>
      </w:r>
      <w:r w:rsidR="00FE7F72">
        <w:t>Initial Notice</w:t>
      </w:r>
      <w:r w:rsidRPr="00074B00">
        <w:t xml:space="preserve">. See </w:t>
      </w:r>
      <w:r w:rsidRPr="00084545">
        <w:rPr>
          <w:i/>
          <w:iCs/>
        </w:rPr>
        <w:t>How do you provide a proper and timely notice?</w:t>
      </w:r>
      <w:r w:rsidRPr="00074B00">
        <w:t xml:space="preserve"> for details.</w:t>
      </w:r>
    </w:p>
    <w:p w14:paraId="2D6417BC" w14:textId="77777777" w:rsidR="00ED7DDD" w:rsidRPr="00074B00" w:rsidRDefault="00ED7DDD" w:rsidP="00D96490">
      <w:r w:rsidRPr="00074B00">
        <w:t xml:space="preserve">When the qualifying event is the end of employment or reduction of hours of employment, you do </w:t>
      </w:r>
      <w:r w:rsidRPr="00084545">
        <w:rPr>
          <w:b/>
          <w:bCs/>
        </w:rPr>
        <w:t>not</w:t>
      </w:r>
      <w:r w:rsidRPr="00074B00">
        <w:t xml:space="preserve"> need to notify the benefits office of any of these qualifying events. The benefits office will offer COBRA coverage to the appropriate qualified beneficiaries. When the qualifying event is the death of the employee, the benefits office will offer survivor coverage. Refer to the </w:t>
      </w:r>
      <w:r w:rsidRPr="00074B00">
        <w:rPr>
          <w:i/>
        </w:rPr>
        <w:t>Insurance Benefits Guide</w:t>
      </w:r>
      <w:r w:rsidRPr="00074B00">
        <w:t xml:space="preserve"> for details.</w:t>
      </w:r>
    </w:p>
    <w:p w14:paraId="73EF5F43" w14:textId="77777777" w:rsidR="00ED7DDD" w:rsidRPr="00D96490" w:rsidRDefault="00ED7DDD" w:rsidP="00D96490">
      <w:pPr>
        <w:pStyle w:val="Heading2"/>
        <w:rPr>
          <w:color w:val="auto"/>
        </w:rPr>
      </w:pPr>
      <w:r w:rsidRPr="00D96490">
        <w:rPr>
          <w:color w:val="auto"/>
        </w:rPr>
        <w:t>How do you provide a proper and timely notice?</w:t>
      </w:r>
    </w:p>
    <w:p w14:paraId="4126709F" w14:textId="77777777" w:rsidR="00ED7DDD" w:rsidRPr="00074B00" w:rsidRDefault="00ED7DDD" w:rsidP="00D96490">
      <w:r w:rsidRPr="00074B00">
        <w:t xml:space="preserve">Any notice that you provide must be in writing and must be submitted on the forms provided by PEBA. These forms are available at no cost from the benefits office or PEBA at 803.737.6800 </w:t>
      </w:r>
      <w:r w:rsidR="00C146B8">
        <w:t>or</w:t>
      </w:r>
      <w:r w:rsidRPr="00074B00">
        <w:t xml:space="preserve"> 888.260.9430 or can be printed from </w:t>
      </w:r>
      <w:hyperlink r:id="rId9" w:history="1">
        <w:r w:rsidRPr="00074B00">
          <w:rPr>
            <w:rStyle w:val="Hyperlink"/>
            <w:rFonts w:cs="Arial"/>
          </w:rPr>
          <w:t>peba.sc.gov</w:t>
        </w:r>
      </w:hyperlink>
      <w:r w:rsidR="00C146B8">
        <w:rPr>
          <w:rStyle w:val="Hyperlink"/>
          <w:rFonts w:cs="Arial"/>
        </w:rPr>
        <w:t>/forms</w:t>
      </w:r>
      <w:r w:rsidRPr="00074B00">
        <w:t>. Oral notice, including notice by telephone, is not acceptable. Procedures for making a proper and timely notice are:</w:t>
      </w:r>
    </w:p>
    <w:p w14:paraId="7ABB5129" w14:textId="77777777" w:rsidR="00ED7DDD" w:rsidRPr="00074B00" w:rsidRDefault="00ED7DDD" w:rsidP="00D96490">
      <w:pPr>
        <w:pStyle w:val="ListParagraph"/>
        <w:numPr>
          <w:ilvl w:val="0"/>
          <w:numId w:val="34"/>
        </w:numPr>
      </w:pPr>
      <w:r w:rsidRPr="00074B00">
        <w:t>Complete the proper form.</w:t>
      </w:r>
    </w:p>
    <w:p w14:paraId="7F258415" w14:textId="77777777" w:rsidR="00ED7DDD" w:rsidRPr="00074B00" w:rsidRDefault="00ED7DDD" w:rsidP="00D96490">
      <w:pPr>
        <w:pStyle w:val="ListParagraph"/>
        <w:numPr>
          <w:ilvl w:val="0"/>
          <w:numId w:val="34"/>
        </w:numPr>
      </w:pPr>
      <w:r w:rsidRPr="00074B00">
        <w:t>Make a copy of the form for your records.</w:t>
      </w:r>
    </w:p>
    <w:p w14:paraId="5D4912F0" w14:textId="77777777" w:rsidR="00ED7DDD" w:rsidRPr="00074B00" w:rsidRDefault="00ED7DDD" w:rsidP="00D96490">
      <w:pPr>
        <w:pStyle w:val="ListParagraph"/>
        <w:numPr>
          <w:ilvl w:val="0"/>
          <w:numId w:val="34"/>
        </w:numPr>
      </w:pPr>
      <w:r w:rsidRPr="00074B00">
        <w:t>Attach the required documentation depending upon the qualifying event (as indicated on the form</w:t>
      </w:r>
      <w:r w:rsidRPr="00074B00">
        <w:rPr>
          <w:rStyle w:val="Strong"/>
          <w:rFonts w:cs="Arial"/>
          <w:b w:val="0"/>
        </w:rPr>
        <w:t>).</w:t>
      </w:r>
    </w:p>
    <w:p w14:paraId="57685E06" w14:textId="77777777" w:rsidR="00ED7DDD" w:rsidRPr="00074B00" w:rsidRDefault="00ED7DDD" w:rsidP="00D96490">
      <w:pPr>
        <w:pStyle w:val="ListParagraph"/>
        <w:numPr>
          <w:ilvl w:val="0"/>
          <w:numId w:val="34"/>
        </w:numPr>
      </w:pPr>
      <w:r w:rsidRPr="00074B00">
        <w:t>Mail or hand-deliver the form and required documentation.</w:t>
      </w:r>
    </w:p>
    <w:p w14:paraId="59EBE80A" w14:textId="77777777" w:rsidR="00ED7DDD" w:rsidRPr="00074B00" w:rsidRDefault="00ED7DDD" w:rsidP="00D96490">
      <w:pPr>
        <w:pStyle w:val="ListParagraph"/>
        <w:numPr>
          <w:ilvl w:val="0"/>
          <w:numId w:val="34"/>
        </w:numPr>
      </w:pPr>
      <w:r w:rsidRPr="00074B00">
        <w:t>Call within 10 days to ensure the form and required documentation have been received.</w:t>
      </w:r>
    </w:p>
    <w:p w14:paraId="4A31BBFF" w14:textId="77777777" w:rsidR="00ED7DDD" w:rsidRPr="00074B00" w:rsidRDefault="00ED7DDD" w:rsidP="00D96490">
      <w:r w:rsidRPr="00074B00">
        <w:t>If mailed, your notice must be postmarked no later than the last day of the applicable notice period. If hand-delivered, your notice must be received by the individual at the address specified for delivery no later than the last day of the applicable notice period.</w:t>
      </w:r>
    </w:p>
    <w:p w14:paraId="710602D8" w14:textId="77777777" w:rsidR="00ED7DDD" w:rsidRPr="00D96490" w:rsidRDefault="00ED7DDD" w:rsidP="00D96490">
      <w:pPr>
        <w:pStyle w:val="Heading2"/>
        <w:rPr>
          <w:rFonts w:eastAsia="Arial Unicode MS"/>
          <w:color w:val="auto"/>
        </w:rPr>
      </w:pPr>
      <w:r w:rsidRPr="00D96490">
        <w:rPr>
          <w:color w:val="auto"/>
        </w:rPr>
        <w:t>How can you elect COBRA coverage?</w:t>
      </w:r>
    </w:p>
    <w:p w14:paraId="0EA8172D" w14:textId="77777777" w:rsidR="00ED7DDD" w:rsidRPr="00074B00" w:rsidRDefault="00ED7DDD" w:rsidP="00D96490">
      <w:r w:rsidRPr="00074B00">
        <w:t>Once the benefits office learns a qualifying event has occurred, the qualified beneficiaries will be notified of their rights to elect COBRA coverage.</w:t>
      </w:r>
      <w:r w:rsidR="00D96490">
        <w:t xml:space="preserve"> </w:t>
      </w:r>
      <w:r w:rsidRPr="00074B00">
        <w:t>Each qualified beneficiary has an independent election right and has 60 days to elect coverage.</w:t>
      </w:r>
      <w:r w:rsidR="00D96490">
        <w:t xml:space="preserve"> </w:t>
      </w:r>
      <w:r w:rsidRPr="00074B00">
        <w:t xml:space="preserve">The 60-day election window is measured from the later of the date coverage is lost due to the event or from the date of notification to the qualified beneficiaries. </w:t>
      </w:r>
      <w:r w:rsidRPr="00074B00">
        <w:rPr>
          <w:u w:val="single"/>
        </w:rPr>
        <w:t>This is the maximum period allowed to elect COBRA coverage. PEBA does not provide an extension of the election period beyond what is required by law</w:t>
      </w:r>
      <w:r w:rsidRPr="00074B00">
        <w:t>.</w:t>
      </w:r>
      <w:r w:rsidR="00D96490">
        <w:t xml:space="preserve"> </w:t>
      </w:r>
    </w:p>
    <w:p w14:paraId="618DD2D1" w14:textId="77777777" w:rsidR="00ED7DDD" w:rsidRPr="00074B00" w:rsidRDefault="00ED7DDD" w:rsidP="00D96490">
      <w:pPr>
        <w:rPr>
          <w:b/>
        </w:rPr>
      </w:pPr>
      <w:r w:rsidRPr="00074B00">
        <w:t xml:space="preserve">The covered employee or the employee’s covered spouse can elect continuation coverage on behalf of all qualified beneficiaries. A parent may elect to continue coverage on behalf of a covered child who is losing coverage </w:t>
      </w:r>
      <w:proofErr w:type="gramStart"/>
      <w:r w:rsidRPr="00074B00">
        <w:t>as a result of</w:t>
      </w:r>
      <w:proofErr w:type="gramEnd"/>
      <w:r w:rsidRPr="00074B00">
        <w:t xml:space="preserve"> the qualifying event.</w:t>
      </w:r>
      <w:r w:rsidR="00D96490">
        <w:t xml:space="preserve"> </w:t>
      </w:r>
      <w:r w:rsidRPr="00074B00">
        <w:t xml:space="preserve">For each qualified beneficiary who elects to continue group health benefits, COBRA coverage will </w:t>
      </w:r>
      <w:r w:rsidRPr="00074B00">
        <w:lastRenderedPageBreak/>
        <w:t>begin on the date that coverage under PEBA would be lost because of the event.</w:t>
      </w:r>
      <w:r w:rsidR="00D96490">
        <w:rPr>
          <w:b/>
        </w:rPr>
        <w:t xml:space="preserve"> </w:t>
      </w:r>
      <w:r w:rsidRPr="00074B00">
        <w:rPr>
          <w:b/>
        </w:rPr>
        <w:t xml:space="preserve">If COBRA coverage is not elected for a qualified beneficiary within the 60-day election window, he will lose all rights to elect COBRA coverage and will cease to be a qualified beneficiary. </w:t>
      </w:r>
    </w:p>
    <w:p w14:paraId="18DD81FB" w14:textId="77777777" w:rsidR="00ED7DDD" w:rsidRPr="00D96490" w:rsidRDefault="00ED7DDD" w:rsidP="00D96490">
      <w:pPr>
        <w:pStyle w:val="Heading2"/>
        <w:rPr>
          <w:color w:val="auto"/>
        </w:rPr>
      </w:pPr>
      <w:r w:rsidRPr="00D96490">
        <w:rPr>
          <w:color w:val="auto"/>
        </w:rPr>
        <w:t>How long does COBRA coverage last for health, dental and/or vision?</w:t>
      </w:r>
    </w:p>
    <w:p w14:paraId="04D03CCC" w14:textId="77777777" w:rsidR="00ED7DDD" w:rsidRPr="00074B00" w:rsidRDefault="00ED7DDD" w:rsidP="00463139">
      <w:r w:rsidRPr="00074B00">
        <w:t>COBRA coverage is a temporary continuation of coverage. The COBRA coverage periods described here are maximum coverage periods.</w:t>
      </w:r>
    </w:p>
    <w:p w14:paraId="43B923F1" w14:textId="77777777" w:rsidR="00ED7DDD" w:rsidRPr="00074B00" w:rsidRDefault="00ED7DDD" w:rsidP="00463139">
      <w:r w:rsidRPr="00074B00">
        <w:rPr>
          <w:u w:val="single"/>
        </w:rPr>
        <w:t>18 months</w:t>
      </w:r>
      <w:r w:rsidRPr="00074B00">
        <w:t xml:space="preserve"> – When the loss of coverage is due to the end of employment (other than for reasons of gross misconduct) or reduction in hours of employment, coverage under the </w:t>
      </w:r>
      <w:r w:rsidRPr="00074B00">
        <w:rPr>
          <w:rFonts w:cs="Arial"/>
        </w:rPr>
        <w:t>health, dental</w:t>
      </w:r>
      <w:r w:rsidR="00FE48A6">
        <w:rPr>
          <w:rFonts w:cs="Arial"/>
        </w:rPr>
        <w:t xml:space="preserve"> </w:t>
      </w:r>
      <w:r w:rsidRPr="00074B00">
        <w:rPr>
          <w:rFonts w:cs="Arial"/>
        </w:rPr>
        <w:t>and vision</w:t>
      </w:r>
      <w:r w:rsidRPr="00074B00">
        <w:t xml:space="preserve"> components generally may be continued up to 18 months. There are three possible situations that may provide coverage beyond 18 months when loss of coverage is due to end of employment or reduction in hours of employment.</w:t>
      </w:r>
    </w:p>
    <w:p w14:paraId="30A4B97B" w14:textId="77777777" w:rsidR="00ED7DDD" w:rsidRPr="00074B00" w:rsidRDefault="00ED7DDD" w:rsidP="00463139">
      <w:pPr>
        <w:pStyle w:val="ListNumbers"/>
        <w:rPr>
          <w:rFonts w:cs="Arial"/>
        </w:rPr>
      </w:pPr>
      <w:r w:rsidRPr="00074B00">
        <w:rPr>
          <w:i/>
        </w:rPr>
        <w:t>Medicare Entitlement Rule (for covered dependents only)</w:t>
      </w:r>
      <w:r w:rsidRPr="00074B00">
        <w:t xml:space="preserve"> – When the qualifying event is the end of employment or reduction of the employee’s hours of employment, and the employee became entitled to Medicare benefits during the 18 months before the qualifying event, COBRA coverage for qualified beneficiaries (other than the employee) can last up to 36 months after the date of Medicare entitlement. </w:t>
      </w:r>
      <w:r w:rsidRPr="00074B00">
        <w:rPr>
          <w:rFonts w:cs="Arial"/>
        </w:rPr>
        <w:t>For example, if a covered employee becomes entitled to Medicare eight (8) months before the date on which employment</w:t>
      </w:r>
      <w:r w:rsidRPr="00074B00">
        <w:rPr>
          <w:rFonts w:cs="Arial"/>
          <w:i/>
        </w:rPr>
        <w:t xml:space="preserve"> </w:t>
      </w:r>
      <w:r w:rsidRPr="00074B00">
        <w:rPr>
          <w:rFonts w:cs="Arial"/>
        </w:rPr>
        <w:t xml:space="preserve">ends, his spouse and children who are qualified beneficiaries who lost coverage </w:t>
      </w:r>
      <w:proofErr w:type="gramStart"/>
      <w:r w:rsidRPr="00074B00">
        <w:rPr>
          <w:rFonts w:cs="Arial"/>
        </w:rPr>
        <w:t>as a result of</w:t>
      </w:r>
      <w:proofErr w:type="gramEnd"/>
      <w:r w:rsidRPr="00074B00">
        <w:rPr>
          <w:rFonts w:cs="Arial"/>
        </w:rPr>
        <w:t xml:space="preserve"> his termination will be offered 28 months of continuation coverage (36</w:t>
      </w:r>
      <w:r w:rsidR="00C146B8">
        <w:rPr>
          <w:rFonts w:cs="Arial"/>
        </w:rPr>
        <w:t xml:space="preserve"> </w:t>
      </w:r>
      <w:r w:rsidR="00DC186E">
        <w:rPr>
          <w:rFonts w:cs="Arial"/>
        </w:rPr>
        <w:t>-</w:t>
      </w:r>
      <w:r w:rsidR="00C146B8">
        <w:rPr>
          <w:rFonts w:cs="Arial"/>
        </w:rPr>
        <w:t xml:space="preserve"> </w:t>
      </w:r>
      <w:r w:rsidRPr="00074B00">
        <w:rPr>
          <w:rFonts w:cs="Arial"/>
        </w:rPr>
        <w:t>8</w:t>
      </w:r>
      <w:r w:rsidR="00C146B8">
        <w:rPr>
          <w:rFonts w:cs="Arial"/>
        </w:rPr>
        <w:t xml:space="preserve"> </w:t>
      </w:r>
      <w:r w:rsidRPr="00074B00">
        <w:rPr>
          <w:rFonts w:cs="Arial"/>
        </w:rPr>
        <w:t>=</w:t>
      </w:r>
      <w:r w:rsidR="00C146B8">
        <w:rPr>
          <w:rFonts w:cs="Arial"/>
        </w:rPr>
        <w:t xml:space="preserve"> </w:t>
      </w:r>
      <w:r w:rsidRPr="00074B00">
        <w:rPr>
          <w:rFonts w:cs="Arial"/>
        </w:rPr>
        <w:t>28). The covered employee, however, is offered only 18 months.</w:t>
      </w:r>
      <w:r w:rsidR="00D96490">
        <w:rPr>
          <w:rFonts w:cs="Arial"/>
        </w:rPr>
        <w:t xml:space="preserve"> </w:t>
      </w:r>
      <w:r w:rsidRPr="00074B00">
        <w:rPr>
          <w:rFonts w:cs="Arial"/>
        </w:rPr>
        <w:t>This COBRA coverage period is available only if the covered employee becomes entitled to Medicare during the 18 months before the end of employment or reduction of hours.</w:t>
      </w:r>
    </w:p>
    <w:p w14:paraId="3A6C70DC" w14:textId="77777777" w:rsidR="00ED7DDD" w:rsidRPr="00074B00" w:rsidRDefault="00ED7DDD" w:rsidP="00463139">
      <w:pPr>
        <w:pStyle w:val="ListNumbers"/>
        <w:rPr>
          <w:rFonts w:cs="Arial"/>
        </w:rPr>
      </w:pPr>
      <w:r w:rsidRPr="00074B00">
        <w:rPr>
          <w:i/>
        </w:rPr>
        <w:t>Social Security Disability Extension</w:t>
      </w:r>
      <w:r w:rsidRPr="00074B00">
        <w:t xml:space="preserve"> – If </w:t>
      </w:r>
      <w:r w:rsidRPr="00074B00">
        <w:rPr>
          <w:rFonts w:cs="Arial"/>
        </w:rPr>
        <w:t>any of the qualified beneficiaries is determined by the Social Security Administration to be disabled, the maximum COBRA coverage period that results from a covered employee’s end of employment or reduction of hours (</w:t>
      </w:r>
      <w:smartTag w:uri="urn:schemas-microsoft-com:office:smarttags" w:element="PersonName">
        <w:r w:rsidRPr="00074B00">
          <w:rPr>
            <w:rFonts w:cs="Arial"/>
          </w:rPr>
          <w:t>gene</w:t>
        </w:r>
      </w:smartTag>
      <w:r w:rsidRPr="00074B00">
        <w:rPr>
          <w:rFonts w:cs="Arial"/>
        </w:rPr>
        <w:t xml:space="preserve">rally 18 months) may be extended to a total of up to 29 months. </w:t>
      </w:r>
      <w:r w:rsidRPr="00074B00">
        <w:t xml:space="preserve">This extension is available only for qualified beneficiaries who are receiving COBRA coverage because of a qualifying event that was the employee’s termination of employment or reduction of hours. </w:t>
      </w:r>
      <w:r w:rsidRPr="00074B00">
        <w:rPr>
          <w:rFonts w:cs="Arial"/>
        </w:rPr>
        <w:t xml:space="preserve">The Social Security Administration must determine that the qualified beneficiary’s disability started before the 61st day after the covered employee’s termination of employment or reduction of hours </w:t>
      </w:r>
      <w:r w:rsidRPr="00074B00">
        <w:rPr>
          <w:rFonts w:cs="Arial"/>
          <w:i/>
        </w:rPr>
        <w:t>and</w:t>
      </w:r>
      <w:r w:rsidRPr="00074B00">
        <w:rPr>
          <w:rFonts w:cs="Arial"/>
        </w:rPr>
        <w:t xml:space="preserve"> the disability must last until at least the end of the 18-month period of continuation coverage.</w:t>
      </w:r>
    </w:p>
    <w:p w14:paraId="6D328535" w14:textId="77777777" w:rsidR="00ED7DDD" w:rsidRPr="00074B00" w:rsidRDefault="00ED7DDD" w:rsidP="00463139">
      <w:pPr>
        <w:rPr>
          <w:rStyle w:val="Strong"/>
          <w:rFonts w:cs="Arial"/>
        </w:rPr>
      </w:pPr>
      <w:r w:rsidRPr="00074B00">
        <w:rPr>
          <w:rStyle w:val="Strong"/>
          <w:rFonts w:cs="Arial"/>
        </w:rPr>
        <w:t xml:space="preserve">To qualify for the disability extension, you must notify your COBRA ADMINISTRATOR in writing at the address where you deliver your COBRA premium payments of the Social Security Administration’s determination of </w:t>
      </w:r>
      <w:proofErr w:type="gramStart"/>
      <w:r w:rsidRPr="00074B00">
        <w:rPr>
          <w:rStyle w:val="Strong"/>
          <w:rFonts w:cs="Arial"/>
        </w:rPr>
        <w:t>disability</w:t>
      </w:r>
      <w:proofErr w:type="gramEnd"/>
      <w:r w:rsidRPr="00074B00">
        <w:rPr>
          <w:rStyle w:val="Strong"/>
          <w:rFonts w:cs="Arial"/>
        </w:rPr>
        <w:t xml:space="preserve"> and you must do so within 60 days after the latest of:</w:t>
      </w:r>
    </w:p>
    <w:p w14:paraId="462D2190" w14:textId="77777777" w:rsidR="00ED7DDD" w:rsidRPr="00074B00" w:rsidRDefault="00ED7DDD" w:rsidP="00463139">
      <w:pPr>
        <w:pStyle w:val="ListParagraph"/>
        <w:rPr>
          <w:b/>
          <w:bCs/>
        </w:rPr>
      </w:pPr>
      <w:r w:rsidRPr="00074B00">
        <w:t xml:space="preserve">The date of the Social Security Administration’s disability </w:t>
      </w:r>
      <w:proofErr w:type="gramStart"/>
      <w:r w:rsidRPr="00074B00">
        <w:t>determination;</w:t>
      </w:r>
      <w:proofErr w:type="gramEnd"/>
    </w:p>
    <w:p w14:paraId="4C6D6CF3" w14:textId="77777777" w:rsidR="00ED7DDD" w:rsidRPr="00074B00" w:rsidRDefault="00ED7DDD" w:rsidP="00463139">
      <w:pPr>
        <w:pStyle w:val="ListParagraph"/>
        <w:rPr>
          <w:b/>
          <w:bCs/>
        </w:rPr>
      </w:pPr>
      <w:r w:rsidRPr="00074B00">
        <w:t>The date the covered employee’s employment ended or the date of reduction of hours</w:t>
      </w:r>
      <w:smartTag w:uri="urn:schemas-microsoft-com:office:smarttags" w:element="PersonName">
        <w:r w:rsidRPr="00074B00">
          <w:t>;</w:t>
        </w:r>
      </w:smartTag>
      <w:r w:rsidRPr="00074B00">
        <w:t xml:space="preserve"> and</w:t>
      </w:r>
    </w:p>
    <w:p w14:paraId="1CF985BD" w14:textId="77777777" w:rsidR="00ED7DDD" w:rsidRPr="00074B00" w:rsidRDefault="00ED7DDD" w:rsidP="00463139">
      <w:pPr>
        <w:pStyle w:val="ListParagraph"/>
        <w:rPr>
          <w:rStyle w:val="Strong"/>
          <w:rFonts w:cs="Arial"/>
        </w:rPr>
      </w:pPr>
      <w:r w:rsidRPr="00074B00">
        <w:t xml:space="preserve">The date the qualified beneficiary loses (or would lose) coverage under PEBA </w:t>
      </w:r>
      <w:proofErr w:type="gramStart"/>
      <w:r w:rsidRPr="00074B00">
        <w:t>as a result of</w:t>
      </w:r>
      <w:proofErr w:type="gramEnd"/>
      <w:r w:rsidRPr="00074B00">
        <w:t xml:space="preserve"> the covered employee’s termination or reduction of hours.</w:t>
      </w:r>
    </w:p>
    <w:p w14:paraId="2B8C66DF" w14:textId="77777777" w:rsidR="00ED7DDD" w:rsidRPr="00074B00" w:rsidRDefault="00ED7DDD" w:rsidP="00463139">
      <w:r w:rsidRPr="00074B00">
        <w:rPr>
          <w:rStyle w:val="Strong"/>
          <w:rFonts w:cs="Arial"/>
        </w:rPr>
        <w:t>You also must provide this notice within 18 months after the covered employee’s employment ended or his hours were reduced to be entitled to a disability extension.</w:t>
      </w:r>
      <w:r w:rsidRPr="00074B00">
        <w:rPr>
          <w:rStyle w:val="Strong"/>
          <w:rFonts w:cs="Arial"/>
          <w:b w:val="0"/>
        </w:rPr>
        <w:t xml:space="preserve"> In providing this notice, you must use </w:t>
      </w:r>
      <w:r w:rsidRPr="00074B00">
        <w:t xml:space="preserve">PEBA’s </w:t>
      </w:r>
      <w:r w:rsidRPr="00074B00">
        <w:rPr>
          <w:rStyle w:val="Strong"/>
          <w:rFonts w:cs="Arial"/>
          <w:b w:val="0"/>
        </w:rPr>
        <w:t xml:space="preserve">form, </w:t>
      </w:r>
      <w:r w:rsidRPr="00463139">
        <w:rPr>
          <w:rStyle w:val="Strong"/>
          <w:rFonts w:cs="Arial"/>
          <w:b w:val="0"/>
          <w:i/>
          <w:iCs/>
        </w:rPr>
        <w:t>Notice to Extend COBRA Continuation Coverage</w:t>
      </w:r>
      <w:r w:rsidR="00264EB2">
        <w:rPr>
          <w:rStyle w:val="Strong"/>
          <w:rFonts w:cs="Arial"/>
          <w:b w:val="0"/>
        </w:rPr>
        <w:t xml:space="preserve">. </w:t>
      </w:r>
      <w:r w:rsidR="00264EB2">
        <w:t>Y</w:t>
      </w:r>
      <w:r w:rsidRPr="00074B00">
        <w:t xml:space="preserve">ou may obtain a copy of this form from the benefits office or PEBA, or you can print the form at </w:t>
      </w:r>
      <w:hyperlink r:id="rId10" w:history="1">
        <w:r w:rsidR="00DF0D72" w:rsidRPr="00DF0D72">
          <w:rPr>
            <w:rStyle w:val="Hyperlink"/>
          </w:rPr>
          <w:t>peba.sc.gov/forms</w:t>
        </w:r>
      </w:hyperlink>
      <w:r w:rsidRPr="00074B00">
        <w:t xml:space="preserve">. </w:t>
      </w:r>
      <w:r w:rsidRPr="00074B00">
        <w:rPr>
          <w:rStyle w:val="Strong"/>
          <w:rFonts w:cs="Arial"/>
          <w:b w:val="0"/>
        </w:rPr>
        <w:t xml:space="preserve">You must follow the procedures outlined in the </w:t>
      </w:r>
      <w:r w:rsidRPr="00074B00">
        <w:t xml:space="preserve">section entitled </w:t>
      </w:r>
      <w:r w:rsidRPr="00084545">
        <w:rPr>
          <w:i/>
          <w:iCs/>
        </w:rPr>
        <w:t>How do you provide a proper and timely notice</w:t>
      </w:r>
      <w:r w:rsidRPr="00DF6D55">
        <w:rPr>
          <w:rFonts w:cs="Calibri"/>
          <w:i/>
          <w:iCs/>
        </w:rPr>
        <w:t>?</w:t>
      </w:r>
      <w:r w:rsidRPr="00DF6D55">
        <w:rPr>
          <w:rFonts w:cs="Calibri"/>
        </w:rPr>
        <w:t xml:space="preserve"> </w:t>
      </w:r>
      <w:r w:rsidR="001715B4" w:rsidRPr="00882282">
        <w:rPr>
          <w:rFonts w:eastAsia="Times New Roman" w:cs="Calibri"/>
        </w:rPr>
        <w:t xml:space="preserve">If the Employee or Dependent has been determined to be disabled prior to the Qualifying Event, the Employee or Dependent must make the disability extension election contemporaneously with their initial COBRA election. </w:t>
      </w:r>
      <w:r w:rsidRPr="00074B00">
        <w:rPr>
          <w:rStyle w:val="Strong"/>
          <w:rFonts w:cs="Arial"/>
        </w:rPr>
        <w:t>If these procedures are not followed or if the notice is not provided during the 60-day notice period and within 18 months after the covered employee’s employment ended or hours were reduced, THERE WILL BE NO DISABILITY EXTENSION OF COBRA COVERAGE.</w:t>
      </w:r>
    </w:p>
    <w:p w14:paraId="4453503A" w14:textId="77777777" w:rsidR="00ED7DDD" w:rsidRPr="00074B00" w:rsidRDefault="00ED7DDD" w:rsidP="00463139">
      <w:pPr>
        <w:pStyle w:val="ListNumbers"/>
      </w:pPr>
      <w:r w:rsidRPr="00074B00">
        <w:rPr>
          <w:i/>
        </w:rPr>
        <w:t>Second Qualifying Event Extension</w:t>
      </w:r>
      <w:r w:rsidRPr="00074B00">
        <w:t xml:space="preserve"> – If your family experiences a second qualifying event during the 18 months (or, in the case of a disability extension, the 29 months) following the covered employee’s end of employment </w:t>
      </w:r>
      <w:r w:rsidRPr="00074B00">
        <w:lastRenderedPageBreak/>
        <w:t>or reduction of hours, the maximum COBRA coverage period may be extended to a total of up to 36 months from the date of the original qualifying event.</w:t>
      </w:r>
      <w:r w:rsidR="00D96490">
        <w:t xml:space="preserve"> </w:t>
      </w:r>
      <w:r w:rsidRPr="00074B00">
        <w:t xml:space="preserve">Such second qualifying events may include the death of the employee, divorce or legal separation from the employee, or dependent child losing eligibility for coverage under </w:t>
      </w:r>
      <w:r w:rsidRPr="00074B00">
        <w:rPr>
          <w:rFonts w:cs="Arial"/>
        </w:rPr>
        <w:t>PEBA</w:t>
      </w:r>
      <w:r w:rsidRPr="00074B00">
        <w:t xml:space="preserve">. </w:t>
      </w:r>
    </w:p>
    <w:p w14:paraId="4B39AB65" w14:textId="77777777" w:rsidR="00ED7DDD" w:rsidRPr="00074B00" w:rsidRDefault="00ED7DDD" w:rsidP="00463139">
      <w:r w:rsidRPr="00074B00">
        <w:rPr>
          <w:rStyle w:val="Strong"/>
          <w:rFonts w:cs="Arial"/>
        </w:rPr>
        <w:t>This extension due to a second qualifying event is available only if you notify your COBRA ADMINISTRATOR in writing at the address where you deliver your COBRA premium payments of the second qualifying event within 60 days after the date of the second qualifying event.</w:t>
      </w:r>
      <w:r w:rsidR="00D96490">
        <w:rPr>
          <w:rStyle w:val="Strong"/>
          <w:rFonts w:cs="Arial"/>
          <w:b w:val="0"/>
        </w:rPr>
        <w:t xml:space="preserve"> </w:t>
      </w:r>
      <w:r w:rsidRPr="00074B00">
        <w:rPr>
          <w:rStyle w:val="Strong"/>
          <w:rFonts w:cs="Arial"/>
          <w:b w:val="0"/>
        </w:rPr>
        <w:t>In providing this notice, you</w:t>
      </w:r>
      <w:r w:rsidRPr="00074B00">
        <w:rPr>
          <w:rStyle w:val="Strong"/>
          <w:rFonts w:cs="Arial"/>
        </w:rPr>
        <w:t xml:space="preserve"> </w:t>
      </w:r>
      <w:r w:rsidRPr="00074B00">
        <w:t xml:space="preserve">must use PEBA’s form, </w:t>
      </w:r>
      <w:r w:rsidRPr="00463139">
        <w:rPr>
          <w:rStyle w:val="Strong"/>
          <w:rFonts w:cs="Arial"/>
          <w:b w:val="0"/>
          <w:i/>
          <w:iCs/>
        </w:rPr>
        <w:t>Notice to Extend COBRA Continuation Coverage</w:t>
      </w:r>
      <w:r w:rsidRPr="00074B00">
        <w:rPr>
          <w:rStyle w:val="Strong"/>
          <w:rFonts w:cs="Arial"/>
          <w:b w:val="0"/>
        </w:rPr>
        <w:t>.</w:t>
      </w:r>
      <w:r w:rsidRPr="00074B00">
        <w:t xml:space="preserve"> You may obtain a copy of this form from PEBA, or you can print the form at</w:t>
      </w:r>
      <w:r w:rsidR="00DF0D72">
        <w:t xml:space="preserve"> </w:t>
      </w:r>
      <w:hyperlink r:id="rId11" w:history="1">
        <w:r w:rsidR="00DF0D72" w:rsidRPr="00DF0D72">
          <w:rPr>
            <w:rStyle w:val="Hyperlink"/>
          </w:rPr>
          <w:t>peba.sc.gov/forms</w:t>
        </w:r>
      </w:hyperlink>
      <w:r w:rsidRPr="00074B00">
        <w:t xml:space="preserve">. </w:t>
      </w:r>
      <w:r w:rsidRPr="00074B00">
        <w:rPr>
          <w:rStyle w:val="Strong"/>
          <w:rFonts w:cs="Arial"/>
          <w:b w:val="0"/>
        </w:rPr>
        <w:t xml:space="preserve">You must follow the procedures </w:t>
      </w:r>
      <w:r w:rsidR="00264EB2">
        <w:rPr>
          <w:rStyle w:val="Strong"/>
          <w:rFonts w:cs="Arial"/>
          <w:b w:val="0"/>
        </w:rPr>
        <w:t>outlined</w:t>
      </w:r>
      <w:r w:rsidR="00264EB2" w:rsidRPr="00074B00">
        <w:rPr>
          <w:rStyle w:val="Strong"/>
          <w:rFonts w:cs="Arial"/>
          <w:b w:val="0"/>
        </w:rPr>
        <w:t xml:space="preserve"> </w:t>
      </w:r>
      <w:r w:rsidRPr="00074B00">
        <w:rPr>
          <w:rStyle w:val="Strong"/>
          <w:rFonts w:cs="Arial"/>
          <w:b w:val="0"/>
        </w:rPr>
        <w:t xml:space="preserve">in the section entitled </w:t>
      </w:r>
      <w:r w:rsidRPr="00084545">
        <w:rPr>
          <w:i/>
          <w:iCs/>
        </w:rPr>
        <w:t>How do you provide a proper and timely notice?</w:t>
      </w:r>
      <w:r w:rsidRPr="00074B00">
        <w:t xml:space="preserve"> </w:t>
      </w:r>
      <w:r w:rsidRPr="00074B00">
        <w:rPr>
          <w:rStyle w:val="Strong"/>
          <w:rFonts w:cs="Arial"/>
        </w:rPr>
        <w:t>If these procedures are not followed or if the notice is not provided during the 60-day notice period, THERE WILL BE NO EXTENSION OF COBRA COVERAGE DUE TO A SECOND QUALIFYING EVENT.</w:t>
      </w:r>
    </w:p>
    <w:p w14:paraId="7E7111DC" w14:textId="77777777" w:rsidR="00ED7DDD" w:rsidRPr="00074B00" w:rsidRDefault="00ED7DDD" w:rsidP="00463139">
      <w:pPr>
        <w:rPr>
          <w:rFonts w:cs="Arial"/>
        </w:rPr>
      </w:pPr>
      <w:r w:rsidRPr="00074B00">
        <w:rPr>
          <w:u w:val="single"/>
        </w:rPr>
        <w:t>36 months</w:t>
      </w:r>
      <w:r w:rsidRPr="00074B00">
        <w:t xml:space="preserve"> – When the loss of coverage is due to the death of the employee, divorce or legal separation from the employee, or a child losing eligibility for coverage under </w:t>
      </w:r>
      <w:r w:rsidRPr="00074B00">
        <w:rPr>
          <w:rFonts w:cs="Arial"/>
        </w:rPr>
        <w:t>PEBA</w:t>
      </w:r>
      <w:r w:rsidRPr="00074B00">
        <w:t xml:space="preserve">, </w:t>
      </w:r>
      <w:r w:rsidRPr="00074B00">
        <w:rPr>
          <w:rFonts w:cs="Arial"/>
        </w:rPr>
        <w:t xml:space="preserve">a spouse or child who is a qualified beneficiary will have the opportunity to continue </w:t>
      </w:r>
      <w:r w:rsidRPr="00074B00">
        <w:t xml:space="preserve">coverage under </w:t>
      </w:r>
      <w:r w:rsidRPr="00074B00">
        <w:rPr>
          <w:rFonts w:cs="Arial"/>
        </w:rPr>
        <w:t>health, dental, dental plus and vision</w:t>
      </w:r>
      <w:r w:rsidRPr="00074B00">
        <w:t xml:space="preserve"> </w:t>
      </w:r>
      <w:r w:rsidRPr="00074B00">
        <w:rPr>
          <w:rFonts w:cs="Arial"/>
        </w:rPr>
        <w:t>for 36 months from the date of the original qualifying event.</w:t>
      </w:r>
    </w:p>
    <w:p w14:paraId="52C732C3" w14:textId="77777777" w:rsidR="00ED7DDD" w:rsidRPr="00463139" w:rsidRDefault="00ED7DDD" w:rsidP="00463139">
      <w:pPr>
        <w:pStyle w:val="Heading2"/>
        <w:rPr>
          <w:color w:val="auto"/>
        </w:rPr>
      </w:pPr>
      <w:r w:rsidRPr="00463139">
        <w:rPr>
          <w:color w:val="auto"/>
        </w:rPr>
        <w:t>How long does COBRA coverage last for the MoneyPlus Medical Spending Account (MSA)?</w:t>
      </w:r>
    </w:p>
    <w:p w14:paraId="3EF336D6" w14:textId="77777777" w:rsidR="00ED7DDD" w:rsidRPr="00074B00" w:rsidRDefault="00ED7DDD" w:rsidP="00463139">
      <w:bookmarkStart w:id="0" w:name="_Hlk42670129"/>
      <w:r w:rsidRPr="00074B00">
        <w:t>COBRA coverage under the MoneyPlus Medical Spending Account (MSA) can last only until the end of the plan year</w:t>
      </w:r>
      <w:r w:rsidR="00264EB2">
        <w:t xml:space="preserve"> </w:t>
      </w:r>
      <w:r w:rsidRPr="00074B00">
        <w:t>in which the qualifying event occurred</w:t>
      </w:r>
      <w:r w:rsidR="00BF27CB">
        <w:t>, subject to Plan rules on carryovers</w:t>
      </w:r>
      <w:r w:rsidRPr="00074B00">
        <w:t xml:space="preserve">. The period of COBRA coverage under the MoneyPlus MSA cannot be extended under any circumstances. </w:t>
      </w:r>
      <w:bookmarkEnd w:id="0"/>
      <w:r w:rsidRPr="00074B00">
        <w:t>COBRA coverage under the MoneyPlus MSA will be offered only to a qualified beneficiary losing coverage</w:t>
      </w:r>
      <w:r w:rsidR="00D54742">
        <w:t xml:space="preserve">. </w:t>
      </w:r>
      <w:r w:rsidRPr="00074B00">
        <w:t xml:space="preserve">COBRA coverage will consist of the MoneyPlus MSA coverage in force at the time of the qualifying event (i.e., the elected annual limit reduced by reimbursable claims submitted up to the time of the qualifying event). </w:t>
      </w:r>
      <w:r w:rsidR="00095B04" w:rsidRPr="000D29B1">
        <w:t>The use-it-or-lose-it rule will continue to apply</w:t>
      </w:r>
      <w:r w:rsidR="00095B04">
        <w:t>, and COBRA coverage will end at the end of the Plan Year in which the Qualifying Event occurred, subject to Plan rules on carryovers</w:t>
      </w:r>
      <w:r w:rsidR="00095B04" w:rsidRPr="000D29B1">
        <w:t>.</w:t>
      </w:r>
      <w:r w:rsidR="00095B04">
        <w:t xml:space="preserve"> </w:t>
      </w:r>
      <w:r w:rsidRPr="00074B00">
        <w:t xml:space="preserve">Unless otherwise elected, all qualified beneficiaries who were covered under the MoneyPlus MSA </w:t>
      </w:r>
      <w:r w:rsidR="00D54742">
        <w:t>could</w:t>
      </w:r>
      <w:r w:rsidRPr="00074B00">
        <w:t xml:space="preserve"> be covered together for continuation under COBRA coverage.</w:t>
      </w:r>
      <w:r w:rsidR="00D96490">
        <w:t xml:space="preserve"> </w:t>
      </w:r>
      <w:r w:rsidRPr="00074B00">
        <w:t>However, each qualified beneficiary could alternatively elect separate COBRA coverage to cover that beneficiary only, with a separate annual limit and a separate contribution</w:t>
      </w:r>
      <w:r w:rsidR="00357BCF">
        <w:t>.</w:t>
      </w:r>
    </w:p>
    <w:p w14:paraId="138B7AF9" w14:textId="77777777" w:rsidR="00ED7DDD" w:rsidRPr="00463139" w:rsidRDefault="00ED7DDD" w:rsidP="00463139">
      <w:pPr>
        <w:pStyle w:val="Heading2"/>
        <w:rPr>
          <w:rFonts w:eastAsia="Arial Unicode MS"/>
          <w:color w:val="auto"/>
        </w:rPr>
      </w:pPr>
      <w:r w:rsidRPr="00463139">
        <w:rPr>
          <w:color w:val="auto"/>
        </w:rPr>
        <w:t>How much does COBRA coverage cost?</w:t>
      </w:r>
    </w:p>
    <w:p w14:paraId="68F96404" w14:textId="77777777" w:rsidR="00ED7DDD" w:rsidRPr="00074B00" w:rsidRDefault="00ED7DDD" w:rsidP="00463139">
      <w:bookmarkStart w:id="1" w:name="_Hlk42670702"/>
      <w:r w:rsidRPr="00074B00">
        <w:t>Generally, each qualified beneficiary is required to pay 100</w:t>
      </w:r>
      <w:r w:rsidR="00401292">
        <w:t xml:space="preserve"> percent</w:t>
      </w:r>
      <w:r w:rsidRPr="00074B00">
        <w:t xml:space="preserve"> of the applicable premium for the coverage that is continued, plus a 2</w:t>
      </w:r>
      <w:r w:rsidR="00401292">
        <w:t xml:space="preserve"> percent</w:t>
      </w:r>
      <w:r w:rsidRPr="00074B00">
        <w:t xml:space="preserve"> administration charge. The premium includes both the employee’s </w:t>
      </w:r>
      <w:r w:rsidRPr="00074B00">
        <w:rPr>
          <w:i/>
          <w:iCs/>
        </w:rPr>
        <w:t>and</w:t>
      </w:r>
      <w:r w:rsidRPr="00074B00">
        <w:t xml:space="preserve"> employer’s share of the total premium. If continuation coverage is extended due to a disability and the disabled qualified beneficiary elects the extension, the rate is 150</w:t>
      </w:r>
      <w:r w:rsidR="00401292">
        <w:t xml:space="preserve"> percent</w:t>
      </w:r>
      <w:r w:rsidRPr="00074B00">
        <w:t xml:space="preserve"> of the applicable premium. If only non-disabled qualified beneficiaries extend coverage, the rate will remain at 102</w:t>
      </w:r>
      <w:r w:rsidR="00401292">
        <w:t xml:space="preserve"> percent</w:t>
      </w:r>
      <w:r w:rsidRPr="00074B00">
        <w:t>.</w:t>
      </w:r>
    </w:p>
    <w:bookmarkEnd w:id="1"/>
    <w:p w14:paraId="427EEB2F" w14:textId="77777777" w:rsidR="004E1168" w:rsidRPr="00084545" w:rsidRDefault="00ED7DDD" w:rsidP="00084545">
      <w:r w:rsidRPr="00074B00">
        <w:t xml:space="preserve">There may be other coverage options for you and your family. </w:t>
      </w:r>
      <w:bookmarkStart w:id="2" w:name="_Hlk42670728"/>
      <w:r w:rsidR="00B721A9">
        <w:t>For example, if you purchase health coverage i</w:t>
      </w:r>
      <w:r w:rsidRPr="00074B00">
        <w:t xml:space="preserve">n the </w:t>
      </w:r>
      <w:r w:rsidR="00B721A9">
        <w:t xml:space="preserve">Health Insurance </w:t>
      </w:r>
      <w:bookmarkEnd w:id="2"/>
      <w:r w:rsidRPr="00074B00">
        <w:t xml:space="preserve">Marketplace, you could be eligible for a tax credit that lowers your monthly premiums right away, and you can see what your premium, deductibles, and out-of-pocket costs will be before you </w:t>
      </w:r>
      <w:proofErr w:type="gramStart"/>
      <w:r w:rsidRPr="00074B00">
        <w:t>make a decision</w:t>
      </w:r>
      <w:proofErr w:type="gramEnd"/>
      <w:r w:rsidRPr="00074B00">
        <w:t xml:space="preserve"> to enroll. Being eligible for COBRA does not limit your eligibility for coverage for a tax credit through the Marketplace. Additionally, you may qualify for a </w:t>
      </w:r>
      <w:r w:rsidR="00B721A9">
        <w:t xml:space="preserve">30-day </w:t>
      </w:r>
      <w:r w:rsidRPr="00074B00">
        <w:t>special enrollment opportunity for another group health plan for which you are eligible (such as a spouse’s plan), even if the plan generally does not accept late enrollees</w:t>
      </w:r>
      <w:r w:rsidRPr="00084545">
        <w:t>.</w:t>
      </w:r>
    </w:p>
    <w:p w14:paraId="1A113BF9" w14:textId="77777777" w:rsidR="00556DCF" w:rsidRDefault="00556DCF">
      <w:pPr>
        <w:rPr>
          <w:rFonts w:ascii="Times New Roman" w:hAnsi="Times New Roman"/>
          <w:sz w:val="30"/>
          <w:szCs w:val="30"/>
        </w:rPr>
      </w:pPr>
      <w:r>
        <w:br w:type="page"/>
      </w:r>
    </w:p>
    <w:p w14:paraId="22368764" w14:textId="77777777" w:rsidR="00ED7DDD" w:rsidRPr="00463139" w:rsidRDefault="00ED7DDD" w:rsidP="00463139">
      <w:pPr>
        <w:pStyle w:val="Heading2"/>
        <w:rPr>
          <w:color w:val="auto"/>
        </w:rPr>
      </w:pPr>
      <w:r w:rsidRPr="00463139">
        <w:rPr>
          <w:color w:val="auto"/>
        </w:rPr>
        <w:t>More information about individuals who may be qualified beneficiaries</w:t>
      </w:r>
    </w:p>
    <w:p w14:paraId="20F4C931" w14:textId="77777777" w:rsidR="00ED7DDD" w:rsidRPr="00463139" w:rsidRDefault="00ED7DDD" w:rsidP="00463139">
      <w:pPr>
        <w:rPr>
          <w:i/>
          <w:iCs/>
        </w:rPr>
      </w:pPr>
      <w:r w:rsidRPr="00463139">
        <w:rPr>
          <w:i/>
          <w:iCs/>
        </w:rPr>
        <w:t xml:space="preserve">Children born to or placed for adoption with the </w:t>
      </w:r>
      <w:r w:rsidRPr="00463139">
        <w:rPr>
          <w:i/>
          <w:iCs/>
          <w:u w:val="single"/>
        </w:rPr>
        <w:t>covered employee</w:t>
      </w:r>
      <w:r w:rsidRPr="00463139">
        <w:rPr>
          <w:i/>
          <w:iCs/>
        </w:rPr>
        <w:t xml:space="preserve"> during COBRA coverage period</w:t>
      </w:r>
    </w:p>
    <w:p w14:paraId="69D729AD" w14:textId="77777777" w:rsidR="00ED7DDD" w:rsidRPr="00074B00" w:rsidRDefault="00ED7DDD" w:rsidP="00463139">
      <w:r w:rsidRPr="00074B00">
        <w:t xml:space="preserve">A child born to, adopted by, or placed for adoption with a covered employee during a period of COBRA coverage </w:t>
      </w:r>
      <w:proofErr w:type="gramStart"/>
      <w:r w:rsidRPr="00074B00">
        <w:t>is considered to be</w:t>
      </w:r>
      <w:proofErr w:type="gramEnd"/>
      <w:r w:rsidRPr="00074B00">
        <w:t xml:space="preserve"> a qualified beneficiary provided that, if the covered employee is a qualified beneficiary, the covered employee has elected COBRA coverage for himself or herself. The child’s COBRA coverage begins when the child is enrolled in the PEBA’s plan, whether through special enrollment or open enrollment, and it lasts for as long as COBRA coverage lasts for other family members of the employee. To be enrolled in PEBA’s plan, the child must satisfy the applicable eligibility requirements (for example, regarding age).</w:t>
      </w:r>
    </w:p>
    <w:p w14:paraId="7E66B99F" w14:textId="77777777" w:rsidR="00ED7DDD" w:rsidRPr="00463139" w:rsidRDefault="00ED7DDD" w:rsidP="00463139">
      <w:pPr>
        <w:rPr>
          <w:i/>
          <w:iCs/>
        </w:rPr>
      </w:pPr>
      <w:r w:rsidRPr="00463139">
        <w:rPr>
          <w:i/>
          <w:iCs/>
        </w:rPr>
        <w:t>Alternate recipients under QMCSOs or NMSNs</w:t>
      </w:r>
    </w:p>
    <w:p w14:paraId="45EBF88E" w14:textId="77777777" w:rsidR="00ED7DDD" w:rsidRPr="00074B00" w:rsidRDefault="00ED7DDD" w:rsidP="00463139">
      <w:r w:rsidRPr="00074B00">
        <w:t>A child of the covered employee who is receiving benefits under PEBA pursuant to a Qualified Medical Child Support Order (QMCSO) or National Medical Support Notice (NMSN) received by PEBA during the covered employee’s period of employment is entitled to the same rights to elect COBRA as an eligible child of the covered employee.</w:t>
      </w:r>
    </w:p>
    <w:p w14:paraId="08AB39BA" w14:textId="77777777" w:rsidR="00ED7DDD" w:rsidRPr="00463139" w:rsidRDefault="00ED7DDD" w:rsidP="00463139">
      <w:pPr>
        <w:pStyle w:val="Heading2"/>
        <w:rPr>
          <w:color w:val="auto"/>
        </w:rPr>
      </w:pPr>
      <w:r w:rsidRPr="00463139">
        <w:rPr>
          <w:color w:val="auto"/>
        </w:rPr>
        <w:t>Are there other coverage options besides COBRA continuation coverage?</w:t>
      </w:r>
    </w:p>
    <w:p w14:paraId="2BD25BC1" w14:textId="77777777" w:rsidR="00ED7DDD" w:rsidRPr="00074B00" w:rsidRDefault="00ED7DDD" w:rsidP="00463139">
      <w:r w:rsidRPr="00074B00">
        <w:t xml:space="preserve">Yes. Instead of enrolling in COBRA continuation coverage, there may be other coverage options for you and your family through the Health Insurance Marketplace, Medicaid, or other group health plan coverage options (such as a spouse’s plan) through what is called a “special enrollment period.” Some of these options may cost less than COBRA continuation coverage. You can learn more about many of these options at </w:t>
      </w:r>
      <w:hyperlink r:id="rId12" w:history="1">
        <w:r w:rsidRPr="00074B00">
          <w:rPr>
            <w:rStyle w:val="Hyperlink"/>
            <w:rFonts w:cs="Arial"/>
          </w:rPr>
          <w:t>www.healthcare.gov</w:t>
        </w:r>
      </w:hyperlink>
      <w:r w:rsidRPr="00074B00">
        <w:t xml:space="preserve">. </w:t>
      </w:r>
    </w:p>
    <w:p w14:paraId="4016C405" w14:textId="77777777" w:rsidR="00ED7DDD" w:rsidRPr="00463139" w:rsidRDefault="00ED7DDD" w:rsidP="00463139">
      <w:pPr>
        <w:pStyle w:val="Heading2"/>
        <w:rPr>
          <w:rFonts w:eastAsia="Arial Unicode MS"/>
          <w:color w:val="auto"/>
        </w:rPr>
      </w:pPr>
      <w:r w:rsidRPr="00463139">
        <w:rPr>
          <w:color w:val="auto"/>
        </w:rPr>
        <w:t>For more information</w:t>
      </w:r>
    </w:p>
    <w:p w14:paraId="446AC38A" w14:textId="77777777" w:rsidR="00ED7DDD" w:rsidRPr="00074B00" w:rsidRDefault="00ED7DDD" w:rsidP="00463139">
      <w:r w:rsidRPr="00074B00">
        <w:t>This notice is a summary and does not fully describe COBRA coverage, other rights under PEBA, or details about your group health benefits.</w:t>
      </w:r>
      <w:r w:rsidR="00D96490">
        <w:t xml:space="preserve"> </w:t>
      </w:r>
      <w:r w:rsidRPr="00074B00">
        <w:t xml:space="preserve">More information is available in your </w:t>
      </w:r>
      <w:r w:rsidRPr="00074B00">
        <w:rPr>
          <w:i/>
        </w:rPr>
        <w:t>Insurance Benefits Guide</w:t>
      </w:r>
      <w:r w:rsidRPr="00074B00">
        <w:t>.</w:t>
      </w:r>
    </w:p>
    <w:p w14:paraId="4EDC6929" w14:textId="77777777" w:rsidR="00ED7DDD" w:rsidRPr="00074B00" w:rsidRDefault="00ED7DDD" w:rsidP="00463139">
      <w:r w:rsidRPr="00074B00">
        <w:t>If you have any questions concerning the information in this notice, your rights to coverage, contact your benefits office, contact PEBA at 803.737.6800</w:t>
      </w:r>
      <w:r w:rsidR="00264EB2">
        <w:t xml:space="preserve"> or</w:t>
      </w:r>
      <w:r w:rsidRPr="00074B00">
        <w:t xml:space="preserve"> 888.260.9430, or visit PEBA’s website</w:t>
      </w:r>
      <w:r w:rsidR="00264EB2">
        <w:t xml:space="preserve"> at</w:t>
      </w:r>
      <w:r w:rsidR="00DF0D72">
        <w:t xml:space="preserve"> </w:t>
      </w:r>
      <w:hyperlink r:id="rId13" w:history="1">
        <w:r w:rsidR="00DF0D72" w:rsidRPr="00DF0D72">
          <w:rPr>
            <w:rStyle w:val="Hyperlink"/>
          </w:rPr>
          <w:t>peba.sc.gov</w:t>
        </w:r>
      </w:hyperlink>
      <w:r w:rsidR="00DF0D72">
        <w:t>.</w:t>
      </w:r>
    </w:p>
    <w:p w14:paraId="78BB368A" w14:textId="77777777" w:rsidR="00ED7DDD" w:rsidRPr="00074B00" w:rsidRDefault="00ED7DDD" w:rsidP="00463139">
      <w:r w:rsidRPr="00074B00">
        <w:t xml:space="preserve">For more information about your rights under COBRA, contact the Centers for Medicare &amp; Medicaid Services at </w:t>
      </w:r>
      <w:hyperlink r:id="rId14" w:history="1">
        <w:r w:rsidR="00DF0D72" w:rsidRPr="004A7B6B">
          <w:rPr>
            <w:rStyle w:val="Hyperlink"/>
          </w:rPr>
          <w:t>www.cms.gov/CCIIO/Programs-and-Initiatives/Other-Insurance-Protections/cobra_fact_sheet</w:t>
        </w:r>
      </w:hyperlink>
      <w:r w:rsidR="00DF0D72">
        <w:rPr>
          <w:rStyle w:val="Hyperlink"/>
        </w:rPr>
        <w:t xml:space="preserve"> </w:t>
      </w:r>
      <w:r w:rsidRPr="00074B00">
        <w:t xml:space="preserve">or </w:t>
      </w:r>
      <w:r w:rsidR="00264EB2">
        <w:t>email</w:t>
      </w:r>
      <w:r w:rsidR="0039521B">
        <w:t xml:space="preserve"> </w:t>
      </w:r>
      <w:hyperlink r:id="rId15" w:history="1">
        <w:r w:rsidR="00264EB2" w:rsidRPr="00883CFE">
          <w:rPr>
            <w:rStyle w:val="Hyperlink"/>
            <w:rFonts w:cs="Arial"/>
          </w:rPr>
          <w:t>phig@cms.hhs.gov</w:t>
        </w:r>
      </w:hyperlink>
      <w:r w:rsidRPr="00074B00">
        <w:rPr>
          <w:color w:val="000080"/>
        </w:rPr>
        <w:t>.</w:t>
      </w:r>
      <w:r w:rsidRPr="00074B00">
        <w:t xml:space="preserve"> </w:t>
      </w:r>
    </w:p>
    <w:p w14:paraId="41283482" w14:textId="77777777" w:rsidR="00ED7DDD" w:rsidRPr="00463139" w:rsidRDefault="00ED7DDD" w:rsidP="00463139">
      <w:pPr>
        <w:pStyle w:val="Heading2"/>
        <w:rPr>
          <w:color w:val="auto"/>
        </w:rPr>
      </w:pPr>
      <w:r w:rsidRPr="00463139">
        <w:rPr>
          <w:color w:val="auto"/>
        </w:rPr>
        <w:t>Keep the benefits office informed of address changes</w:t>
      </w:r>
    </w:p>
    <w:p w14:paraId="3E733A1D" w14:textId="77777777" w:rsidR="00ED7DDD" w:rsidRPr="00074B00" w:rsidRDefault="00ED7DDD" w:rsidP="00463139">
      <w:r w:rsidRPr="00074B00">
        <w:t>To protect your rights, notify the benefits office of any changes in the employee’s address and the addresses of covered family members as soon as possible.</w:t>
      </w:r>
    </w:p>
    <w:p w14:paraId="65895109" w14:textId="77777777" w:rsidR="00ED7DDD" w:rsidRPr="00463139" w:rsidRDefault="00ED7DDD" w:rsidP="00463139">
      <w:pPr>
        <w:pStyle w:val="Heading2"/>
        <w:rPr>
          <w:color w:val="auto"/>
        </w:rPr>
      </w:pPr>
      <w:r w:rsidRPr="00463139">
        <w:rPr>
          <w:color w:val="auto"/>
        </w:rPr>
        <w:t xml:space="preserve">Plan </w:t>
      </w:r>
      <w:r w:rsidR="00463139">
        <w:rPr>
          <w:color w:val="auto"/>
        </w:rPr>
        <w:t>a</w:t>
      </w:r>
      <w:r w:rsidRPr="00463139">
        <w:rPr>
          <w:color w:val="auto"/>
        </w:rPr>
        <w:t xml:space="preserve">dministrator/PEBA </w:t>
      </w:r>
    </w:p>
    <w:p w14:paraId="5FF6B2B0" w14:textId="77777777" w:rsidR="00ED7DDD" w:rsidRPr="00074B00" w:rsidRDefault="00ED7DDD" w:rsidP="00463139">
      <w:r w:rsidRPr="00074B00">
        <w:t>The State of South Carolina Public Employee Benefits Authority (PEBA) is the plan administrator for the group he</w:t>
      </w:r>
      <w:smartTag w:uri="urn:schemas-microsoft-com:office:smarttags" w:element="PersonName">
        <w:r w:rsidRPr="00074B00">
          <w:t>al</w:t>
        </w:r>
      </w:smartTag>
      <w:r w:rsidRPr="00074B00">
        <w:t>th benefits, which include he</w:t>
      </w:r>
      <w:smartTag w:uri="urn:schemas-microsoft-com:office:smarttags" w:element="PersonName">
        <w:r w:rsidRPr="00074B00">
          <w:t>al</w:t>
        </w:r>
      </w:smartTag>
      <w:r w:rsidRPr="00074B00">
        <w:t>th, dent</w:t>
      </w:r>
      <w:smartTag w:uri="urn:schemas-microsoft-com:office:smarttags" w:element="PersonName">
        <w:r w:rsidRPr="00074B00">
          <w:t>al</w:t>
        </w:r>
      </w:smartTag>
      <w:r w:rsidRPr="00074B00">
        <w:t>, dent</w:t>
      </w:r>
      <w:smartTag w:uri="urn:schemas-microsoft-com:office:smarttags" w:element="PersonName">
        <w:r w:rsidRPr="00074B00">
          <w:t>al</w:t>
        </w:r>
      </w:smartTag>
      <w:r w:rsidRPr="00074B00">
        <w:t xml:space="preserve"> plus, vision and the MoneyPlus Medical Spending Account.</w:t>
      </w:r>
      <w:r w:rsidR="00D96490">
        <w:t xml:space="preserve"> </w:t>
      </w:r>
      <w:r w:rsidRPr="00074B00">
        <w:t xml:space="preserve">You can contact PEBA </w:t>
      </w:r>
      <w:r w:rsidR="0039521B">
        <w:t>at</w:t>
      </w:r>
      <w:r w:rsidRPr="00074B00">
        <w:t xml:space="preserve"> 803.737.6800</w:t>
      </w:r>
      <w:r w:rsidR="00DF0D72">
        <w:t xml:space="preserve"> or</w:t>
      </w:r>
      <w:r w:rsidR="0039521B">
        <w:t xml:space="preserve"> </w:t>
      </w:r>
      <w:r w:rsidRPr="00074B00">
        <w:t xml:space="preserve">888.260.9430 or </w:t>
      </w:r>
      <w:r w:rsidR="0039521B">
        <w:t xml:space="preserve">visit </w:t>
      </w:r>
      <w:r w:rsidRPr="00074B00">
        <w:t xml:space="preserve">PEBA’s website </w:t>
      </w:r>
      <w:r w:rsidR="0039521B">
        <w:t>at</w:t>
      </w:r>
      <w:r w:rsidR="00DF0D72">
        <w:t xml:space="preserve"> </w:t>
      </w:r>
      <w:hyperlink r:id="rId16" w:history="1">
        <w:r w:rsidR="00DF0D72" w:rsidRPr="00DF0D72">
          <w:rPr>
            <w:rStyle w:val="Hyperlink"/>
          </w:rPr>
          <w:t>peba.sc.gov</w:t>
        </w:r>
      </w:hyperlink>
      <w:r w:rsidRPr="00074B00">
        <w:t>. PEBA’s mailing address is P.O. Box 11661, Columbia, SC 29211.</w:t>
      </w:r>
    </w:p>
    <w:sectPr w:rsidR="00ED7DDD" w:rsidRPr="00074B00" w:rsidSect="00C03C42">
      <w:footerReference w:type="default" r:id="rId17"/>
      <w:footerReference w:type="first" r:id="rId18"/>
      <w:type w:val="continuous"/>
      <w:pgSz w:w="12240" w:h="15840"/>
      <w:pgMar w:top="720" w:right="720" w:bottom="720" w:left="720" w:header="504" w:footer="28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C3D8" w14:textId="77777777" w:rsidR="00F4492E" w:rsidRDefault="00F4492E" w:rsidP="00A73065">
      <w:pPr>
        <w:spacing w:after="0" w:line="240" w:lineRule="auto"/>
      </w:pPr>
      <w:r>
        <w:separator/>
      </w:r>
    </w:p>
  </w:endnote>
  <w:endnote w:type="continuationSeparator" w:id="0">
    <w:p w14:paraId="5A4B7696" w14:textId="77777777" w:rsidR="00F4492E" w:rsidRDefault="00F4492E" w:rsidP="00A7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ITC Officina Serif">
    <w:panose1 w:val="00000000000000000000"/>
    <w:charset w:val="00"/>
    <w:family w:val="auto"/>
    <w:notTrueType/>
    <w:pitch w:val="default"/>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D7A5" w14:textId="0A6AD75C" w:rsidR="004B1957" w:rsidRPr="00637F87" w:rsidRDefault="00ED7DDD" w:rsidP="00ED7DDD">
    <w:pPr>
      <w:pStyle w:val="Footer"/>
      <w:tabs>
        <w:tab w:val="clear" w:pos="4680"/>
        <w:tab w:val="clear" w:pos="9360"/>
        <w:tab w:val="right" w:pos="10440"/>
      </w:tabs>
      <w:ind w:left="-360" w:right="-360"/>
      <w:rPr>
        <w:rFonts w:ascii="Times New Roman" w:hAnsi="Times New Roman"/>
        <w:noProof/>
        <w:color w:val="063A68"/>
        <w:sz w:val="18"/>
        <w:szCs w:val="18"/>
      </w:rPr>
    </w:pPr>
    <w:r w:rsidRPr="00637F87">
      <w:rPr>
        <w:rFonts w:ascii="Times New Roman" w:hAnsi="Times New Roman"/>
        <w:color w:val="858585"/>
        <w:sz w:val="18"/>
        <w:szCs w:val="18"/>
      </w:rPr>
      <w:t xml:space="preserve">SCPEBA </w:t>
    </w:r>
    <w:r w:rsidR="00DF6D55">
      <w:rPr>
        <w:rFonts w:ascii="Times New Roman" w:hAnsi="Times New Roman"/>
        <w:color w:val="858585"/>
        <w:sz w:val="18"/>
        <w:szCs w:val="18"/>
      </w:rPr>
      <w:t>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D0AE" w14:textId="47C6645F" w:rsidR="00F479F1" w:rsidRPr="00637F87" w:rsidRDefault="00F479F1" w:rsidP="001A6DBA">
    <w:pPr>
      <w:pStyle w:val="Footer"/>
      <w:tabs>
        <w:tab w:val="clear" w:pos="4680"/>
        <w:tab w:val="clear" w:pos="9360"/>
        <w:tab w:val="right" w:pos="10440"/>
      </w:tabs>
      <w:ind w:left="-360" w:right="-360"/>
      <w:rPr>
        <w:rFonts w:ascii="Times New Roman" w:hAnsi="Times New Roman"/>
        <w:noProof/>
        <w:color w:val="063A68"/>
        <w:sz w:val="18"/>
        <w:szCs w:val="18"/>
      </w:rPr>
    </w:pPr>
    <w:r w:rsidRPr="00637F87">
      <w:rPr>
        <w:rFonts w:ascii="Times New Roman" w:hAnsi="Times New Roman"/>
        <w:color w:val="858585"/>
        <w:sz w:val="18"/>
        <w:szCs w:val="18"/>
      </w:rPr>
      <w:t xml:space="preserve">SCPEBA </w:t>
    </w:r>
    <w:r w:rsidR="00DF6D55">
      <w:rPr>
        <w:rFonts w:ascii="Times New Roman" w:hAnsi="Times New Roman"/>
        <w:color w:val="858585"/>
        <w:sz w:val="18"/>
        <w:szCs w:val="18"/>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9149" w14:textId="77777777" w:rsidR="00F4492E" w:rsidRDefault="00F4492E" w:rsidP="00A73065">
      <w:pPr>
        <w:spacing w:after="0" w:line="240" w:lineRule="auto"/>
      </w:pPr>
      <w:r>
        <w:separator/>
      </w:r>
    </w:p>
  </w:footnote>
  <w:footnote w:type="continuationSeparator" w:id="0">
    <w:p w14:paraId="06F7B3E6" w14:textId="77777777" w:rsidR="00F4492E" w:rsidRDefault="00F4492E" w:rsidP="00A7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1B0"/>
    <w:multiLevelType w:val="hybridMultilevel"/>
    <w:tmpl w:val="E1EA6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2B2173"/>
    <w:multiLevelType w:val="hybridMultilevel"/>
    <w:tmpl w:val="F044EE7A"/>
    <w:lvl w:ilvl="0" w:tplc="4102515A">
      <w:start w:val="1"/>
      <w:numFmt w:val="lowerLetter"/>
      <w:pStyle w:val="ListLetters"/>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D6F5C"/>
    <w:multiLevelType w:val="hybridMultilevel"/>
    <w:tmpl w:val="F40AC38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9C43A04"/>
    <w:multiLevelType w:val="hybridMultilevel"/>
    <w:tmpl w:val="949218C0"/>
    <w:lvl w:ilvl="0" w:tplc="3EC6ADA8">
      <w:start w:val="19"/>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C69A5"/>
    <w:multiLevelType w:val="hybridMultilevel"/>
    <w:tmpl w:val="853AA8B2"/>
    <w:lvl w:ilvl="0" w:tplc="5FDE51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308CF"/>
    <w:multiLevelType w:val="hybridMultilevel"/>
    <w:tmpl w:val="54D03C22"/>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743D5"/>
    <w:multiLevelType w:val="hybridMultilevel"/>
    <w:tmpl w:val="132E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993B11"/>
    <w:multiLevelType w:val="hybridMultilevel"/>
    <w:tmpl w:val="0C3E0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06C13"/>
    <w:multiLevelType w:val="hybridMultilevel"/>
    <w:tmpl w:val="B4D03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332F3"/>
    <w:multiLevelType w:val="hybridMultilevel"/>
    <w:tmpl w:val="CEDE9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076A33"/>
    <w:multiLevelType w:val="hybridMultilevel"/>
    <w:tmpl w:val="0C14D522"/>
    <w:lvl w:ilvl="0" w:tplc="D6FAB0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C47EC4"/>
    <w:multiLevelType w:val="hybridMultilevel"/>
    <w:tmpl w:val="103AF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900417"/>
    <w:multiLevelType w:val="hybridMultilevel"/>
    <w:tmpl w:val="0E4829DE"/>
    <w:lvl w:ilvl="0" w:tplc="A3E407AE">
      <w:start w:val="1"/>
      <w:numFmt w:val="decimal"/>
      <w:pStyle w:val="List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A5446"/>
    <w:multiLevelType w:val="hybridMultilevel"/>
    <w:tmpl w:val="ECFCFE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C222DE"/>
    <w:multiLevelType w:val="hybridMultilevel"/>
    <w:tmpl w:val="B7E663D2"/>
    <w:lvl w:ilvl="0" w:tplc="D6FAB0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204B4B"/>
    <w:multiLevelType w:val="hybridMultilevel"/>
    <w:tmpl w:val="6C2C4F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587CF9"/>
    <w:multiLevelType w:val="hybridMultilevel"/>
    <w:tmpl w:val="4BDED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D24822"/>
    <w:multiLevelType w:val="hybridMultilevel"/>
    <w:tmpl w:val="0BC27C74"/>
    <w:lvl w:ilvl="0" w:tplc="FD461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D3747"/>
    <w:multiLevelType w:val="hybridMultilevel"/>
    <w:tmpl w:val="AEBA9716"/>
    <w:lvl w:ilvl="0" w:tplc="E61ED00A">
      <w:start w:val="1"/>
      <w:numFmt w:val="decimal"/>
      <w:lvlText w:val="Step %1:"/>
      <w:lvlJc w:val="left"/>
      <w:pPr>
        <w:tabs>
          <w:tab w:val="num" w:pos="720"/>
        </w:tabs>
        <w:ind w:left="720" w:hanging="360"/>
      </w:pPr>
      <w:rPr>
        <w:rFonts w:ascii="Calibri" w:hAnsi="Calibri" w:hint="default"/>
      </w:rPr>
    </w:lvl>
    <w:lvl w:ilvl="1" w:tplc="8C60BEB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F0622"/>
    <w:multiLevelType w:val="hybridMultilevel"/>
    <w:tmpl w:val="FE967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791DB7"/>
    <w:multiLevelType w:val="hybridMultilevel"/>
    <w:tmpl w:val="5398553E"/>
    <w:lvl w:ilvl="0" w:tplc="E61ED00A">
      <w:start w:val="1"/>
      <w:numFmt w:val="decimal"/>
      <w:lvlText w:val="Step %1:"/>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206255">
    <w:abstractNumId w:val="4"/>
  </w:num>
  <w:num w:numId="2" w16cid:durableId="1263806350">
    <w:abstractNumId w:val="18"/>
  </w:num>
  <w:num w:numId="3" w16cid:durableId="572086724">
    <w:abstractNumId w:val="1"/>
  </w:num>
  <w:num w:numId="4" w16cid:durableId="87122787">
    <w:abstractNumId w:val="1"/>
    <w:lvlOverride w:ilvl="0">
      <w:startOverride w:val="1"/>
    </w:lvlOverride>
  </w:num>
  <w:num w:numId="5" w16cid:durableId="659886946">
    <w:abstractNumId w:val="1"/>
    <w:lvlOverride w:ilvl="0">
      <w:startOverride w:val="1"/>
    </w:lvlOverride>
  </w:num>
  <w:num w:numId="6" w16cid:durableId="1453672931">
    <w:abstractNumId w:val="13"/>
  </w:num>
  <w:num w:numId="7" w16cid:durableId="1556962803">
    <w:abstractNumId w:val="1"/>
    <w:lvlOverride w:ilvl="0">
      <w:startOverride w:val="1"/>
    </w:lvlOverride>
  </w:num>
  <w:num w:numId="8" w16cid:durableId="213933924">
    <w:abstractNumId w:val="13"/>
    <w:lvlOverride w:ilvl="0">
      <w:startOverride w:val="1"/>
    </w:lvlOverride>
  </w:num>
  <w:num w:numId="9" w16cid:durableId="1505248277">
    <w:abstractNumId w:val="1"/>
    <w:lvlOverride w:ilvl="0">
      <w:startOverride w:val="1"/>
    </w:lvlOverride>
  </w:num>
  <w:num w:numId="10" w16cid:durableId="721252986">
    <w:abstractNumId w:val="1"/>
    <w:lvlOverride w:ilvl="0">
      <w:startOverride w:val="1"/>
    </w:lvlOverride>
  </w:num>
  <w:num w:numId="11" w16cid:durableId="207375513">
    <w:abstractNumId w:val="13"/>
    <w:lvlOverride w:ilvl="0">
      <w:startOverride w:val="1"/>
    </w:lvlOverride>
  </w:num>
  <w:num w:numId="12" w16cid:durableId="1028483919">
    <w:abstractNumId w:val="1"/>
    <w:lvlOverride w:ilvl="0">
      <w:startOverride w:val="1"/>
    </w:lvlOverride>
  </w:num>
  <w:num w:numId="13" w16cid:durableId="2004550008">
    <w:abstractNumId w:val="1"/>
    <w:lvlOverride w:ilvl="0">
      <w:startOverride w:val="1"/>
    </w:lvlOverride>
  </w:num>
  <w:num w:numId="14" w16cid:durableId="283313037">
    <w:abstractNumId w:val="13"/>
    <w:lvlOverride w:ilvl="0">
      <w:startOverride w:val="1"/>
    </w:lvlOverride>
  </w:num>
  <w:num w:numId="15" w16cid:durableId="1661231849">
    <w:abstractNumId w:val="1"/>
    <w:lvlOverride w:ilvl="0">
      <w:startOverride w:val="1"/>
    </w:lvlOverride>
  </w:num>
  <w:num w:numId="16" w16cid:durableId="1124663976">
    <w:abstractNumId w:val="13"/>
    <w:lvlOverride w:ilvl="0">
      <w:startOverride w:val="1"/>
    </w:lvlOverride>
  </w:num>
  <w:num w:numId="17" w16cid:durableId="304285659">
    <w:abstractNumId w:val="10"/>
  </w:num>
  <w:num w:numId="18" w16cid:durableId="35132549">
    <w:abstractNumId w:val="14"/>
  </w:num>
  <w:num w:numId="19" w16cid:durableId="1811481487">
    <w:abstractNumId w:val="13"/>
    <w:lvlOverride w:ilvl="0">
      <w:startOverride w:val="1"/>
    </w:lvlOverride>
  </w:num>
  <w:num w:numId="20" w16cid:durableId="673724417">
    <w:abstractNumId w:val="15"/>
  </w:num>
  <w:num w:numId="21" w16cid:durableId="893466440">
    <w:abstractNumId w:val="8"/>
  </w:num>
  <w:num w:numId="22" w16cid:durableId="21103245">
    <w:abstractNumId w:val="16"/>
  </w:num>
  <w:num w:numId="23" w16cid:durableId="308676918">
    <w:abstractNumId w:val="17"/>
  </w:num>
  <w:num w:numId="24" w16cid:durableId="196158788">
    <w:abstractNumId w:val="6"/>
  </w:num>
  <w:num w:numId="25" w16cid:durableId="1262029325">
    <w:abstractNumId w:val="3"/>
  </w:num>
  <w:num w:numId="26" w16cid:durableId="1146317879">
    <w:abstractNumId w:val="19"/>
  </w:num>
  <w:num w:numId="27" w16cid:durableId="1318993952">
    <w:abstractNumId w:val="11"/>
  </w:num>
  <w:num w:numId="28" w16cid:durableId="1035229957">
    <w:abstractNumId w:val="9"/>
  </w:num>
  <w:num w:numId="29" w16cid:durableId="378171905">
    <w:abstractNumId w:val="12"/>
  </w:num>
  <w:num w:numId="30" w16cid:durableId="1744403947">
    <w:abstractNumId w:val="20"/>
  </w:num>
  <w:num w:numId="31" w16cid:durableId="46345721">
    <w:abstractNumId w:val="2"/>
  </w:num>
  <w:num w:numId="32" w16cid:durableId="1755928693">
    <w:abstractNumId w:val="0"/>
  </w:num>
  <w:num w:numId="33" w16cid:durableId="1241449235">
    <w:abstractNumId w:val="5"/>
  </w:num>
  <w:num w:numId="34" w16cid:durableId="349525572">
    <w:abstractNumId w:val="21"/>
  </w:num>
  <w:num w:numId="35" w16cid:durableId="670838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82D"/>
    <w:rsid w:val="00020472"/>
    <w:rsid w:val="0002082E"/>
    <w:rsid w:val="00027419"/>
    <w:rsid w:val="0003312F"/>
    <w:rsid w:val="00043538"/>
    <w:rsid w:val="00063A4F"/>
    <w:rsid w:val="00065F2D"/>
    <w:rsid w:val="00067272"/>
    <w:rsid w:val="0007569D"/>
    <w:rsid w:val="0008222F"/>
    <w:rsid w:val="00084545"/>
    <w:rsid w:val="00085A94"/>
    <w:rsid w:val="00095B04"/>
    <w:rsid w:val="00095EC0"/>
    <w:rsid w:val="00097CE2"/>
    <w:rsid w:val="000A5F14"/>
    <w:rsid w:val="000A7CE3"/>
    <w:rsid w:val="000B017F"/>
    <w:rsid w:val="000B1A74"/>
    <w:rsid w:val="000B2C38"/>
    <w:rsid w:val="000C4EAA"/>
    <w:rsid w:val="000C6ED6"/>
    <w:rsid w:val="000D57A0"/>
    <w:rsid w:val="000E16BE"/>
    <w:rsid w:val="000E1F0A"/>
    <w:rsid w:val="000E79D4"/>
    <w:rsid w:val="000F372F"/>
    <w:rsid w:val="000F4AB0"/>
    <w:rsid w:val="00102920"/>
    <w:rsid w:val="001054B5"/>
    <w:rsid w:val="001101F5"/>
    <w:rsid w:val="00110C36"/>
    <w:rsid w:val="001131E5"/>
    <w:rsid w:val="00122E76"/>
    <w:rsid w:val="00123637"/>
    <w:rsid w:val="00131077"/>
    <w:rsid w:val="0013330B"/>
    <w:rsid w:val="001354CF"/>
    <w:rsid w:val="001369D2"/>
    <w:rsid w:val="0014061A"/>
    <w:rsid w:val="00147DCD"/>
    <w:rsid w:val="001506B6"/>
    <w:rsid w:val="00150891"/>
    <w:rsid w:val="001516BB"/>
    <w:rsid w:val="0015703B"/>
    <w:rsid w:val="00160D45"/>
    <w:rsid w:val="001619D3"/>
    <w:rsid w:val="001715B4"/>
    <w:rsid w:val="00177988"/>
    <w:rsid w:val="0018153A"/>
    <w:rsid w:val="001A6DBA"/>
    <w:rsid w:val="001B4070"/>
    <w:rsid w:val="001B4B37"/>
    <w:rsid w:val="001B55F2"/>
    <w:rsid w:val="001C31DF"/>
    <w:rsid w:val="001C4949"/>
    <w:rsid w:val="001D64F6"/>
    <w:rsid w:val="001E455D"/>
    <w:rsid w:val="001E47E6"/>
    <w:rsid w:val="00202B59"/>
    <w:rsid w:val="00214B85"/>
    <w:rsid w:val="002233E9"/>
    <w:rsid w:val="002263C0"/>
    <w:rsid w:val="0023551B"/>
    <w:rsid w:val="0024127F"/>
    <w:rsid w:val="002435D7"/>
    <w:rsid w:val="00250438"/>
    <w:rsid w:val="0025470D"/>
    <w:rsid w:val="00264EB2"/>
    <w:rsid w:val="0027007D"/>
    <w:rsid w:val="002741BA"/>
    <w:rsid w:val="00275C2A"/>
    <w:rsid w:val="00286948"/>
    <w:rsid w:val="00293809"/>
    <w:rsid w:val="002B593F"/>
    <w:rsid w:val="002C0F6E"/>
    <w:rsid w:val="002C6054"/>
    <w:rsid w:val="002D4565"/>
    <w:rsid w:val="002D46EB"/>
    <w:rsid w:val="002D4FB4"/>
    <w:rsid w:val="002E48BF"/>
    <w:rsid w:val="00310974"/>
    <w:rsid w:val="00312B4A"/>
    <w:rsid w:val="00314639"/>
    <w:rsid w:val="0031686B"/>
    <w:rsid w:val="00317825"/>
    <w:rsid w:val="003207F0"/>
    <w:rsid w:val="00321D84"/>
    <w:rsid w:val="00322AF3"/>
    <w:rsid w:val="00327C14"/>
    <w:rsid w:val="003300AC"/>
    <w:rsid w:val="00342CED"/>
    <w:rsid w:val="003447CF"/>
    <w:rsid w:val="003449AC"/>
    <w:rsid w:val="00347835"/>
    <w:rsid w:val="00351710"/>
    <w:rsid w:val="00352766"/>
    <w:rsid w:val="00355B08"/>
    <w:rsid w:val="00357BCF"/>
    <w:rsid w:val="00364250"/>
    <w:rsid w:val="00372251"/>
    <w:rsid w:val="00372B16"/>
    <w:rsid w:val="0037455A"/>
    <w:rsid w:val="0037539B"/>
    <w:rsid w:val="003771E5"/>
    <w:rsid w:val="00377FFD"/>
    <w:rsid w:val="0039521B"/>
    <w:rsid w:val="003A487E"/>
    <w:rsid w:val="003A49DF"/>
    <w:rsid w:val="003B0374"/>
    <w:rsid w:val="003C06EF"/>
    <w:rsid w:val="003E63EF"/>
    <w:rsid w:val="003F016F"/>
    <w:rsid w:val="00401292"/>
    <w:rsid w:val="00412956"/>
    <w:rsid w:val="00417F19"/>
    <w:rsid w:val="00420090"/>
    <w:rsid w:val="0042188C"/>
    <w:rsid w:val="00435341"/>
    <w:rsid w:val="00446E02"/>
    <w:rsid w:val="00456D99"/>
    <w:rsid w:val="004618D7"/>
    <w:rsid w:val="00463139"/>
    <w:rsid w:val="00486AA7"/>
    <w:rsid w:val="00490755"/>
    <w:rsid w:val="004A6FC2"/>
    <w:rsid w:val="004B1957"/>
    <w:rsid w:val="004B3452"/>
    <w:rsid w:val="004B6B88"/>
    <w:rsid w:val="004C0A75"/>
    <w:rsid w:val="004C4F11"/>
    <w:rsid w:val="004D146D"/>
    <w:rsid w:val="004E1168"/>
    <w:rsid w:val="004E28B4"/>
    <w:rsid w:val="004E3BBD"/>
    <w:rsid w:val="004E6FE0"/>
    <w:rsid w:val="004F30DF"/>
    <w:rsid w:val="004F40F8"/>
    <w:rsid w:val="004F419D"/>
    <w:rsid w:val="004F5171"/>
    <w:rsid w:val="00511523"/>
    <w:rsid w:val="0052263F"/>
    <w:rsid w:val="0053481A"/>
    <w:rsid w:val="00534BD6"/>
    <w:rsid w:val="005454F6"/>
    <w:rsid w:val="00556DCF"/>
    <w:rsid w:val="00565FA3"/>
    <w:rsid w:val="005727B1"/>
    <w:rsid w:val="00580F0E"/>
    <w:rsid w:val="00584131"/>
    <w:rsid w:val="00590151"/>
    <w:rsid w:val="00596B87"/>
    <w:rsid w:val="0059724D"/>
    <w:rsid w:val="005A583C"/>
    <w:rsid w:val="005B38B5"/>
    <w:rsid w:val="005B431F"/>
    <w:rsid w:val="005B43D7"/>
    <w:rsid w:val="005C27C3"/>
    <w:rsid w:val="005C5272"/>
    <w:rsid w:val="005F4BD5"/>
    <w:rsid w:val="00600B61"/>
    <w:rsid w:val="0061567F"/>
    <w:rsid w:val="00621CDB"/>
    <w:rsid w:val="0063570A"/>
    <w:rsid w:val="00637F87"/>
    <w:rsid w:val="006407E6"/>
    <w:rsid w:val="006651FA"/>
    <w:rsid w:val="00680B5E"/>
    <w:rsid w:val="00685960"/>
    <w:rsid w:val="00685D88"/>
    <w:rsid w:val="00695AA7"/>
    <w:rsid w:val="006A6D88"/>
    <w:rsid w:val="006B4EE6"/>
    <w:rsid w:val="006B5881"/>
    <w:rsid w:val="006C1A75"/>
    <w:rsid w:val="006C519D"/>
    <w:rsid w:val="006D1341"/>
    <w:rsid w:val="006D13F3"/>
    <w:rsid w:val="006E0DF6"/>
    <w:rsid w:val="006E165F"/>
    <w:rsid w:val="006F21A8"/>
    <w:rsid w:val="006F3B8D"/>
    <w:rsid w:val="00706AFA"/>
    <w:rsid w:val="00712434"/>
    <w:rsid w:val="00713240"/>
    <w:rsid w:val="00717226"/>
    <w:rsid w:val="007454A2"/>
    <w:rsid w:val="00753AFA"/>
    <w:rsid w:val="0075405A"/>
    <w:rsid w:val="007633D8"/>
    <w:rsid w:val="00766107"/>
    <w:rsid w:val="00771D96"/>
    <w:rsid w:val="0078377F"/>
    <w:rsid w:val="007845AA"/>
    <w:rsid w:val="007935BA"/>
    <w:rsid w:val="007B108C"/>
    <w:rsid w:val="007D6608"/>
    <w:rsid w:val="007D66C7"/>
    <w:rsid w:val="007E6111"/>
    <w:rsid w:val="008004D0"/>
    <w:rsid w:val="00803378"/>
    <w:rsid w:val="00806E7F"/>
    <w:rsid w:val="00811FCE"/>
    <w:rsid w:val="0082129C"/>
    <w:rsid w:val="00825E13"/>
    <w:rsid w:val="00834C9E"/>
    <w:rsid w:val="00834F43"/>
    <w:rsid w:val="008401A8"/>
    <w:rsid w:val="0084363A"/>
    <w:rsid w:val="00844A9E"/>
    <w:rsid w:val="00844AFA"/>
    <w:rsid w:val="008476A5"/>
    <w:rsid w:val="008503E5"/>
    <w:rsid w:val="00863F35"/>
    <w:rsid w:val="008705D4"/>
    <w:rsid w:val="00882282"/>
    <w:rsid w:val="008A687F"/>
    <w:rsid w:val="008B69E9"/>
    <w:rsid w:val="008C07DA"/>
    <w:rsid w:val="008C1079"/>
    <w:rsid w:val="008E00ED"/>
    <w:rsid w:val="008E71C1"/>
    <w:rsid w:val="008F02B2"/>
    <w:rsid w:val="00917D9D"/>
    <w:rsid w:val="00923472"/>
    <w:rsid w:val="009271FF"/>
    <w:rsid w:val="00936CDB"/>
    <w:rsid w:val="0094036E"/>
    <w:rsid w:val="00940628"/>
    <w:rsid w:val="00941F20"/>
    <w:rsid w:val="00942F56"/>
    <w:rsid w:val="00943FBE"/>
    <w:rsid w:val="009754AC"/>
    <w:rsid w:val="009912B9"/>
    <w:rsid w:val="009A79A6"/>
    <w:rsid w:val="009B06ED"/>
    <w:rsid w:val="009B13AA"/>
    <w:rsid w:val="009B1E99"/>
    <w:rsid w:val="009B5997"/>
    <w:rsid w:val="009D0738"/>
    <w:rsid w:val="009D18BF"/>
    <w:rsid w:val="009D7942"/>
    <w:rsid w:val="009E1108"/>
    <w:rsid w:val="009F0A10"/>
    <w:rsid w:val="009F1913"/>
    <w:rsid w:val="009F6E27"/>
    <w:rsid w:val="00A00146"/>
    <w:rsid w:val="00A1003F"/>
    <w:rsid w:val="00A16893"/>
    <w:rsid w:val="00A20BDB"/>
    <w:rsid w:val="00A23BF8"/>
    <w:rsid w:val="00A272B8"/>
    <w:rsid w:val="00A41CA9"/>
    <w:rsid w:val="00A43BAF"/>
    <w:rsid w:val="00A44EFF"/>
    <w:rsid w:val="00A4519E"/>
    <w:rsid w:val="00A66D6D"/>
    <w:rsid w:val="00A73065"/>
    <w:rsid w:val="00A91395"/>
    <w:rsid w:val="00A97057"/>
    <w:rsid w:val="00AA670A"/>
    <w:rsid w:val="00AB46B1"/>
    <w:rsid w:val="00AB77A9"/>
    <w:rsid w:val="00AC4657"/>
    <w:rsid w:val="00AC65B6"/>
    <w:rsid w:val="00AD1420"/>
    <w:rsid w:val="00AE3FF6"/>
    <w:rsid w:val="00AE7436"/>
    <w:rsid w:val="00AF620D"/>
    <w:rsid w:val="00B006C0"/>
    <w:rsid w:val="00B17C46"/>
    <w:rsid w:val="00B21012"/>
    <w:rsid w:val="00B242C4"/>
    <w:rsid w:val="00B24FC4"/>
    <w:rsid w:val="00B25AC2"/>
    <w:rsid w:val="00B345AD"/>
    <w:rsid w:val="00B45601"/>
    <w:rsid w:val="00B5240D"/>
    <w:rsid w:val="00B71F49"/>
    <w:rsid w:val="00B721A9"/>
    <w:rsid w:val="00B76E25"/>
    <w:rsid w:val="00B844D0"/>
    <w:rsid w:val="00B91FFE"/>
    <w:rsid w:val="00B95C88"/>
    <w:rsid w:val="00BA1EA9"/>
    <w:rsid w:val="00BA36E4"/>
    <w:rsid w:val="00BB01E2"/>
    <w:rsid w:val="00BB7574"/>
    <w:rsid w:val="00BE372F"/>
    <w:rsid w:val="00BF0930"/>
    <w:rsid w:val="00BF27CB"/>
    <w:rsid w:val="00BF2B3A"/>
    <w:rsid w:val="00BF41DD"/>
    <w:rsid w:val="00BF5272"/>
    <w:rsid w:val="00C03C42"/>
    <w:rsid w:val="00C04493"/>
    <w:rsid w:val="00C06582"/>
    <w:rsid w:val="00C07C81"/>
    <w:rsid w:val="00C146B8"/>
    <w:rsid w:val="00C14D7C"/>
    <w:rsid w:val="00C152F6"/>
    <w:rsid w:val="00C155F4"/>
    <w:rsid w:val="00C16862"/>
    <w:rsid w:val="00C20752"/>
    <w:rsid w:val="00C30E43"/>
    <w:rsid w:val="00C44196"/>
    <w:rsid w:val="00C4445F"/>
    <w:rsid w:val="00C46F6A"/>
    <w:rsid w:val="00C51266"/>
    <w:rsid w:val="00C5301D"/>
    <w:rsid w:val="00C679FF"/>
    <w:rsid w:val="00C7054B"/>
    <w:rsid w:val="00C76117"/>
    <w:rsid w:val="00C81B0C"/>
    <w:rsid w:val="00C81F8E"/>
    <w:rsid w:val="00C9010E"/>
    <w:rsid w:val="00C9284E"/>
    <w:rsid w:val="00CA43E6"/>
    <w:rsid w:val="00CA5622"/>
    <w:rsid w:val="00CD3BFB"/>
    <w:rsid w:val="00CD4291"/>
    <w:rsid w:val="00CD47C1"/>
    <w:rsid w:val="00CE6440"/>
    <w:rsid w:val="00CF0815"/>
    <w:rsid w:val="00CF38B1"/>
    <w:rsid w:val="00D03FDF"/>
    <w:rsid w:val="00D0660B"/>
    <w:rsid w:val="00D1392A"/>
    <w:rsid w:val="00D21096"/>
    <w:rsid w:val="00D23744"/>
    <w:rsid w:val="00D42075"/>
    <w:rsid w:val="00D44681"/>
    <w:rsid w:val="00D513E3"/>
    <w:rsid w:val="00D54742"/>
    <w:rsid w:val="00D6253E"/>
    <w:rsid w:val="00D76771"/>
    <w:rsid w:val="00D86EA4"/>
    <w:rsid w:val="00D90E2C"/>
    <w:rsid w:val="00D96490"/>
    <w:rsid w:val="00DA194B"/>
    <w:rsid w:val="00DA738A"/>
    <w:rsid w:val="00DC186E"/>
    <w:rsid w:val="00DE19B8"/>
    <w:rsid w:val="00DE28EE"/>
    <w:rsid w:val="00DE58AC"/>
    <w:rsid w:val="00DF0696"/>
    <w:rsid w:val="00DF0A52"/>
    <w:rsid w:val="00DF0D72"/>
    <w:rsid w:val="00DF1ABD"/>
    <w:rsid w:val="00DF389F"/>
    <w:rsid w:val="00DF6D55"/>
    <w:rsid w:val="00DF758A"/>
    <w:rsid w:val="00E05C78"/>
    <w:rsid w:val="00E162F6"/>
    <w:rsid w:val="00E21324"/>
    <w:rsid w:val="00E308EA"/>
    <w:rsid w:val="00E47E95"/>
    <w:rsid w:val="00E535EC"/>
    <w:rsid w:val="00E536FA"/>
    <w:rsid w:val="00E53F02"/>
    <w:rsid w:val="00E568C0"/>
    <w:rsid w:val="00E64274"/>
    <w:rsid w:val="00E64828"/>
    <w:rsid w:val="00E64BD5"/>
    <w:rsid w:val="00E66D51"/>
    <w:rsid w:val="00E67EDB"/>
    <w:rsid w:val="00E877CA"/>
    <w:rsid w:val="00E902F9"/>
    <w:rsid w:val="00E945D9"/>
    <w:rsid w:val="00E9787A"/>
    <w:rsid w:val="00EA1E7C"/>
    <w:rsid w:val="00EA6FBD"/>
    <w:rsid w:val="00EA79D2"/>
    <w:rsid w:val="00EB1B7C"/>
    <w:rsid w:val="00EB2423"/>
    <w:rsid w:val="00EC205E"/>
    <w:rsid w:val="00EC2DA5"/>
    <w:rsid w:val="00EC47C6"/>
    <w:rsid w:val="00ED645F"/>
    <w:rsid w:val="00ED7BFC"/>
    <w:rsid w:val="00ED7DDD"/>
    <w:rsid w:val="00EE15EF"/>
    <w:rsid w:val="00EE21E5"/>
    <w:rsid w:val="00F01C10"/>
    <w:rsid w:val="00F022C5"/>
    <w:rsid w:val="00F075B9"/>
    <w:rsid w:val="00F11AE2"/>
    <w:rsid w:val="00F23B93"/>
    <w:rsid w:val="00F27412"/>
    <w:rsid w:val="00F4160B"/>
    <w:rsid w:val="00F4492E"/>
    <w:rsid w:val="00F479F1"/>
    <w:rsid w:val="00F53AF1"/>
    <w:rsid w:val="00F76568"/>
    <w:rsid w:val="00F847C2"/>
    <w:rsid w:val="00F86DD8"/>
    <w:rsid w:val="00FA172F"/>
    <w:rsid w:val="00FA2C0F"/>
    <w:rsid w:val="00FB4C17"/>
    <w:rsid w:val="00FB6182"/>
    <w:rsid w:val="00FB6E42"/>
    <w:rsid w:val="00FC382D"/>
    <w:rsid w:val="00FC6214"/>
    <w:rsid w:val="00FD2403"/>
    <w:rsid w:val="00FE09EB"/>
    <w:rsid w:val="00FE48A6"/>
    <w:rsid w:val="00FE7F72"/>
    <w:rsid w:val="00FF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14:docId w14:val="0C6A6C78"/>
  <w15:docId w15:val="{626C7A79-D125-4D57-A47F-BA88ED58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4363A"/>
    <w:pPr>
      <w:spacing w:after="160" w:line="259" w:lineRule="auto"/>
    </w:pPr>
    <w:rPr>
      <w:sz w:val="22"/>
      <w:szCs w:val="22"/>
    </w:rPr>
  </w:style>
  <w:style w:type="paragraph" w:styleId="Heading1">
    <w:name w:val="heading 1"/>
    <w:basedOn w:val="Normal"/>
    <w:next w:val="Normal"/>
    <w:link w:val="Heading1Char"/>
    <w:uiPriority w:val="9"/>
    <w:qFormat/>
    <w:rsid w:val="00AE3FF6"/>
    <w:pPr>
      <w:suppressAutoHyphens/>
      <w:autoSpaceDE w:val="0"/>
      <w:autoSpaceDN w:val="0"/>
      <w:adjustRightInd w:val="0"/>
      <w:spacing w:after="120"/>
      <w:textAlignment w:val="center"/>
      <w:outlineLvl w:val="0"/>
    </w:pPr>
    <w:rPr>
      <w:rFonts w:ascii="Times New Roman" w:hAnsi="Times New Roman"/>
      <w:b/>
      <w:color w:val="1260A7"/>
      <w:sz w:val="36"/>
      <w:szCs w:val="36"/>
    </w:rPr>
  </w:style>
  <w:style w:type="paragraph" w:styleId="Heading2">
    <w:name w:val="heading 2"/>
    <w:basedOn w:val="Normal"/>
    <w:next w:val="Normal"/>
    <w:link w:val="Heading2Char"/>
    <w:uiPriority w:val="9"/>
    <w:unhideWhenUsed/>
    <w:qFormat/>
    <w:rsid w:val="00AE3FF6"/>
    <w:pPr>
      <w:autoSpaceDE w:val="0"/>
      <w:autoSpaceDN w:val="0"/>
      <w:adjustRightInd w:val="0"/>
      <w:spacing w:after="120"/>
      <w:textAlignment w:val="center"/>
      <w:outlineLvl w:val="1"/>
    </w:pPr>
    <w:rPr>
      <w:rFonts w:ascii="Times New Roman" w:hAnsi="Times New Roman"/>
      <w:color w:val="1260A7"/>
      <w:sz w:val="30"/>
      <w:szCs w:val="30"/>
    </w:rPr>
  </w:style>
  <w:style w:type="paragraph" w:styleId="Heading3">
    <w:name w:val="heading 3"/>
    <w:aliases w:val="Chart Heading"/>
    <w:basedOn w:val="Heading2"/>
    <w:next w:val="Normal"/>
    <w:link w:val="Heading3Char"/>
    <w:uiPriority w:val="9"/>
    <w:unhideWhenUsed/>
    <w:rsid w:val="001B55F2"/>
    <w:pPr>
      <w:jc w:val="center"/>
      <w:outlineLvl w:val="2"/>
    </w:pPr>
    <w:rPr>
      <w:b/>
    </w:rPr>
  </w:style>
  <w:style w:type="paragraph" w:styleId="Heading4">
    <w:name w:val="heading 4"/>
    <w:aliases w:val="Chart Subhead"/>
    <w:basedOn w:val="Heading3"/>
    <w:next w:val="Normal"/>
    <w:link w:val="Heading4Char"/>
    <w:uiPriority w:val="9"/>
    <w:unhideWhenUsed/>
    <w:rsid w:val="003771E5"/>
    <w:pPr>
      <w:spacing w:line="240" w:lineRule="auto"/>
      <w:outlineLvl w:val="3"/>
    </w:pPr>
    <w:rPr>
      <w:b w:val="0"/>
      <w:color w:val="auto"/>
      <w:sz w:val="24"/>
      <w:szCs w:val="24"/>
    </w:rPr>
  </w:style>
  <w:style w:type="paragraph" w:styleId="Heading5">
    <w:name w:val="heading 5"/>
    <w:aliases w:val="Chart Parenthesis"/>
    <w:basedOn w:val="Normal"/>
    <w:next w:val="Normal"/>
    <w:link w:val="Heading5Char"/>
    <w:uiPriority w:val="9"/>
    <w:unhideWhenUsed/>
    <w:rsid w:val="003771E5"/>
    <w:pPr>
      <w:spacing w:after="200"/>
      <w:jc w:val="center"/>
      <w:outlineLvl w:val="4"/>
    </w:pPr>
    <w:rPr>
      <w:rFonts w:ascii="Century Gothic" w:hAnsi="Century Gothic" w:cs="Franklin Gothic Demi"/>
      <w:i/>
      <w:iCs/>
      <w:sz w:val="16"/>
      <w:szCs w:val="16"/>
    </w:rPr>
  </w:style>
  <w:style w:type="paragraph" w:styleId="Heading6">
    <w:name w:val="heading 6"/>
    <w:aliases w:val="Subhead 1"/>
    <w:basedOn w:val="Heading2"/>
    <w:next w:val="Normal"/>
    <w:link w:val="Heading6Char"/>
    <w:uiPriority w:val="9"/>
    <w:unhideWhenUsed/>
    <w:qFormat/>
    <w:rsid w:val="00E945D9"/>
    <w:pPr>
      <w:outlineLvl w:val="5"/>
    </w:pPr>
    <w:rPr>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C382D"/>
    <w:pPr>
      <w:autoSpaceDE w:val="0"/>
      <w:autoSpaceDN w:val="0"/>
      <w:adjustRightInd w:val="0"/>
      <w:spacing w:line="288" w:lineRule="auto"/>
      <w:textAlignment w:val="center"/>
    </w:pPr>
    <w:rPr>
      <w:rFonts w:ascii="Times New Roman" w:hAnsi="Times New Roman"/>
      <w:color w:val="000000"/>
      <w:sz w:val="24"/>
      <w:szCs w:val="24"/>
    </w:rPr>
  </w:style>
  <w:style w:type="paragraph" w:styleId="BodyText2">
    <w:name w:val="Body Text 2"/>
    <w:basedOn w:val="Normal"/>
    <w:link w:val="BodyText2Char"/>
    <w:uiPriority w:val="99"/>
    <w:rsid w:val="00FC382D"/>
    <w:pPr>
      <w:autoSpaceDE w:val="0"/>
      <w:autoSpaceDN w:val="0"/>
      <w:adjustRightInd w:val="0"/>
      <w:spacing w:after="0" w:line="288" w:lineRule="auto"/>
      <w:jc w:val="both"/>
      <w:textAlignment w:val="center"/>
    </w:pPr>
    <w:rPr>
      <w:rFonts w:ascii="ITC Officina Serif" w:hAnsi="ITC Officina Serif" w:cs="ITC Officina Serif"/>
      <w:color w:val="000000"/>
      <w:sz w:val="20"/>
      <w:szCs w:val="20"/>
    </w:rPr>
  </w:style>
  <w:style w:type="character" w:customStyle="1" w:styleId="BodyText2Char">
    <w:name w:val="Body Text 2 Char"/>
    <w:link w:val="BodyText2"/>
    <w:uiPriority w:val="99"/>
    <w:rsid w:val="00FC382D"/>
    <w:rPr>
      <w:rFonts w:ascii="ITC Officina Serif" w:hAnsi="ITC Officina Serif" w:cs="ITC Officina Serif"/>
      <w:color w:val="000000"/>
      <w:sz w:val="20"/>
      <w:szCs w:val="20"/>
    </w:rPr>
  </w:style>
  <w:style w:type="paragraph" w:customStyle="1" w:styleId="ParagraphCAFRStyle">
    <w:name w:val="Paragraph (CAFR Style)"/>
    <w:basedOn w:val="Normal"/>
    <w:uiPriority w:val="99"/>
    <w:rsid w:val="00FC382D"/>
    <w:pPr>
      <w:autoSpaceDE w:val="0"/>
      <w:autoSpaceDN w:val="0"/>
      <w:adjustRightInd w:val="0"/>
      <w:spacing w:after="0" w:line="288" w:lineRule="auto"/>
      <w:jc w:val="both"/>
      <w:textAlignment w:val="center"/>
    </w:pPr>
    <w:rPr>
      <w:rFonts w:ascii="Adobe Garamond Pro" w:hAnsi="Adobe Garamond Pro" w:cs="Adobe Garamond Pro"/>
      <w:color w:val="000000"/>
      <w:sz w:val="24"/>
      <w:szCs w:val="24"/>
      <w:u w:color="000000"/>
    </w:rPr>
  </w:style>
  <w:style w:type="paragraph" w:customStyle="1" w:styleId="ChartHeadingCAFRStyle">
    <w:name w:val="Chart Heading (CAFR Style)"/>
    <w:basedOn w:val="Normal"/>
    <w:uiPriority w:val="99"/>
    <w:rsid w:val="00FC382D"/>
    <w:pPr>
      <w:tabs>
        <w:tab w:val="left" w:pos="4140"/>
        <w:tab w:val="left" w:pos="4860"/>
        <w:tab w:val="left" w:pos="4950"/>
        <w:tab w:val="left" w:pos="5850"/>
        <w:tab w:val="left" w:pos="5940"/>
        <w:tab w:val="left" w:pos="6660"/>
        <w:tab w:val="left" w:pos="6750"/>
        <w:tab w:val="left" w:pos="7650"/>
        <w:tab w:val="left" w:pos="7740"/>
        <w:tab w:val="left" w:pos="8640"/>
        <w:tab w:val="left" w:pos="8730"/>
        <w:tab w:val="left" w:pos="9630"/>
      </w:tabs>
      <w:autoSpaceDE w:val="0"/>
      <w:autoSpaceDN w:val="0"/>
      <w:adjustRightInd w:val="0"/>
      <w:spacing w:after="0" w:line="288" w:lineRule="auto"/>
      <w:jc w:val="center"/>
      <w:textAlignment w:val="center"/>
    </w:pPr>
    <w:rPr>
      <w:rFonts w:ascii="Franklin Gothic Demi" w:hAnsi="Franklin Gothic Demi" w:cs="Franklin Gothic Demi"/>
      <w:color w:val="000000"/>
      <w:sz w:val="28"/>
      <w:szCs w:val="28"/>
    </w:rPr>
  </w:style>
  <w:style w:type="paragraph" w:customStyle="1" w:styleId="AltTextCAFRStyle">
    <w:name w:val="Alt Text (CAFR Style)"/>
    <w:basedOn w:val="NoParagraphStyle"/>
    <w:uiPriority w:val="99"/>
    <w:rsid w:val="00FC382D"/>
    <w:pPr>
      <w:jc w:val="center"/>
    </w:pPr>
    <w:rPr>
      <w:rFonts w:ascii="Franklin Gothic Demi" w:hAnsi="Franklin Gothic Demi" w:cs="Franklin Gothic Demi"/>
    </w:rPr>
  </w:style>
  <w:style w:type="character" w:customStyle="1" w:styleId="Heading1Char">
    <w:name w:val="Heading 1 Char"/>
    <w:link w:val="Heading1"/>
    <w:uiPriority w:val="9"/>
    <w:rsid w:val="00AE3FF6"/>
    <w:rPr>
      <w:rFonts w:ascii="Times New Roman" w:hAnsi="Times New Roman" w:cs="Times New Roman"/>
      <w:b/>
      <w:color w:val="1260A7"/>
      <w:sz w:val="36"/>
      <w:szCs w:val="36"/>
    </w:rPr>
  </w:style>
  <w:style w:type="paragraph" w:styleId="ListParagraph">
    <w:name w:val="List Paragraph"/>
    <w:aliases w:val="Bulleted List"/>
    <w:basedOn w:val="Normal"/>
    <w:uiPriority w:val="34"/>
    <w:qFormat/>
    <w:rsid w:val="002D46EB"/>
    <w:pPr>
      <w:numPr>
        <w:numId w:val="1"/>
      </w:numPr>
      <w:contextualSpacing/>
    </w:pPr>
    <w:rPr>
      <w:iCs/>
    </w:rPr>
  </w:style>
  <w:style w:type="character" w:customStyle="1" w:styleId="Heading2Char">
    <w:name w:val="Heading 2 Char"/>
    <w:link w:val="Heading2"/>
    <w:uiPriority w:val="9"/>
    <w:rsid w:val="00AE3FF6"/>
    <w:rPr>
      <w:rFonts w:ascii="Times New Roman" w:hAnsi="Times New Roman" w:cs="Times New Roman"/>
      <w:color w:val="1260A7"/>
      <w:sz w:val="30"/>
      <w:szCs w:val="30"/>
    </w:rPr>
  </w:style>
  <w:style w:type="character" w:styleId="Strong">
    <w:name w:val="Strong"/>
    <w:qFormat/>
    <w:rsid w:val="00EA1E7C"/>
    <w:rPr>
      <w:b/>
      <w:bCs/>
    </w:rPr>
  </w:style>
  <w:style w:type="paragraph" w:styleId="NoSpacing">
    <w:name w:val="No Spacing"/>
    <w:aliases w:val="Subhead 2"/>
    <w:uiPriority w:val="1"/>
    <w:qFormat/>
    <w:rsid w:val="00B24FC4"/>
    <w:rPr>
      <w:b/>
      <w:sz w:val="22"/>
      <w:szCs w:val="22"/>
    </w:rPr>
  </w:style>
  <w:style w:type="paragraph" w:styleId="Header">
    <w:name w:val="header"/>
    <w:basedOn w:val="Normal"/>
    <w:link w:val="HeaderChar"/>
    <w:uiPriority w:val="99"/>
    <w:unhideWhenUsed/>
    <w:rsid w:val="00A73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065"/>
  </w:style>
  <w:style w:type="paragraph" w:styleId="Footer">
    <w:name w:val="footer"/>
    <w:basedOn w:val="Normal"/>
    <w:link w:val="FooterChar"/>
    <w:unhideWhenUsed/>
    <w:rsid w:val="00A73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065"/>
  </w:style>
  <w:style w:type="paragraph" w:styleId="BalloonText">
    <w:name w:val="Balloon Text"/>
    <w:basedOn w:val="Normal"/>
    <w:link w:val="BalloonTextChar"/>
    <w:uiPriority w:val="99"/>
    <w:semiHidden/>
    <w:unhideWhenUsed/>
    <w:rsid w:val="004E28B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E28B4"/>
    <w:rPr>
      <w:rFonts w:ascii="Segoe UI" w:hAnsi="Segoe UI" w:cs="Segoe UI"/>
      <w:sz w:val="18"/>
      <w:szCs w:val="18"/>
    </w:rPr>
  </w:style>
  <w:style w:type="character" w:customStyle="1" w:styleId="Heading3Char">
    <w:name w:val="Heading 3 Char"/>
    <w:aliases w:val="Chart Heading Char"/>
    <w:link w:val="Heading3"/>
    <w:uiPriority w:val="9"/>
    <w:rsid w:val="001B55F2"/>
    <w:rPr>
      <w:rFonts w:ascii="Century Gothic" w:hAnsi="Century Gothic" w:cs="Franklin Gothic Demi"/>
      <w:b/>
      <w:color w:val="0087B0"/>
      <w:sz w:val="30"/>
      <w:szCs w:val="30"/>
    </w:rPr>
  </w:style>
  <w:style w:type="character" w:customStyle="1" w:styleId="Heading4Char">
    <w:name w:val="Heading 4 Char"/>
    <w:aliases w:val="Chart Subhead Char"/>
    <w:link w:val="Heading4"/>
    <w:uiPriority w:val="9"/>
    <w:rsid w:val="003771E5"/>
    <w:rPr>
      <w:rFonts w:ascii="Century Gothic" w:hAnsi="Century Gothic" w:cs="Franklin Gothic Demi"/>
      <w:sz w:val="24"/>
      <w:szCs w:val="24"/>
    </w:rPr>
  </w:style>
  <w:style w:type="character" w:customStyle="1" w:styleId="Heading5Char">
    <w:name w:val="Heading 5 Char"/>
    <w:aliases w:val="Chart Parenthesis Char"/>
    <w:link w:val="Heading5"/>
    <w:uiPriority w:val="9"/>
    <w:rsid w:val="003771E5"/>
    <w:rPr>
      <w:rFonts w:ascii="Century Gothic" w:hAnsi="Century Gothic" w:cs="Franklin Gothic Demi"/>
      <w:i/>
      <w:iCs/>
      <w:sz w:val="16"/>
      <w:szCs w:val="16"/>
    </w:rPr>
  </w:style>
  <w:style w:type="character" w:customStyle="1" w:styleId="Heading6Char">
    <w:name w:val="Heading 6 Char"/>
    <w:aliases w:val="Subhead 1 Char"/>
    <w:link w:val="Heading6"/>
    <w:uiPriority w:val="9"/>
    <w:rsid w:val="00E945D9"/>
    <w:rPr>
      <w:rFonts w:ascii="Century Gothic" w:hAnsi="Century Gothic" w:cs="Franklin Gothic Demi"/>
      <w:b/>
      <w:sz w:val="24"/>
      <w:szCs w:val="24"/>
    </w:rPr>
  </w:style>
  <w:style w:type="paragraph" w:styleId="Title">
    <w:name w:val="Title"/>
    <w:basedOn w:val="Normal"/>
    <w:next w:val="Normal"/>
    <w:link w:val="TitleChar"/>
    <w:uiPriority w:val="10"/>
    <w:rsid w:val="0042188C"/>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2188C"/>
    <w:rPr>
      <w:rFonts w:ascii="Calibri Light" w:eastAsia="Times New Roman" w:hAnsi="Calibri Light" w:cs="Times New Roman"/>
      <w:spacing w:val="-10"/>
      <w:kern w:val="28"/>
      <w:sz w:val="56"/>
      <w:szCs w:val="56"/>
    </w:rPr>
  </w:style>
  <w:style w:type="table" w:styleId="TableGrid">
    <w:name w:val="Table Grid"/>
    <w:basedOn w:val="TableNormal"/>
    <w:uiPriority w:val="39"/>
    <w:rsid w:val="00B4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45601"/>
    <w:pPr>
      <w:autoSpaceDE w:val="0"/>
      <w:autoSpaceDN w:val="0"/>
      <w:adjustRightInd w:val="0"/>
      <w:spacing w:before="100" w:after="100" w:line="288" w:lineRule="auto"/>
      <w:textAlignment w:val="center"/>
    </w:pPr>
    <w:rPr>
      <w:rFonts w:ascii="Times New Roman" w:hAnsi="Times New Roman"/>
      <w:color w:val="000000"/>
      <w:sz w:val="20"/>
      <w:szCs w:val="20"/>
    </w:rPr>
  </w:style>
  <w:style w:type="paragraph" w:customStyle="1" w:styleId="ListLetters">
    <w:name w:val="List Letters"/>
    <w:basedOn w:val="ListParagraph"/>
    <w:qFormat/>
    <w:rsid w:val="00C51266"/>
    <w:pPr>
      <w:numPr>
        <w:numId w:val="3"/>
      </w:numPr>
    </w:pPr>
  </w:style>
  <w:style w:type="paragraph" w:customStyle="1" w:styleId="ListNumbers">
    <w:name w:val="List Numbers"/>
    <w:basedOn w:val="ListLetters"/>
    <w:qFormat/>
    <w:rsid w:val="00147DCD"/>
    <w:pPr>
      <w:numPr>
        <w:numId w:val="6"/>
      </w:numPr>
      <w:ind w:left="810"/>
    </w:pPr>
  </w:style>
  <w:style w:type="paragraph" w:customStyle="1" w:styleId="BasicParagraph">
    <w:name w:val="[Basic Paragraph]"/>
    <w:basedOn w:val="NoParagraphStyle"/>
    <w:uiPriority w:val="99"/>
    <w:rsid w:val="00DF389F"/>
    <w:rPr>
      <w:rFonts w:ascii="Open Sans" w:hAnsi="Open Sans"/>
    </w:rPr>
  </w:style>
  <w:style w:type="character" w:styleId="Hyperlink">
    <w:name w:val="Hyperlink"/>
    <w:uiPriority w:val="99"/>
    <w:unhideWhenUsed/>
    <w:rsid w:val="00ED7BFC"/>
    <w:rPr>
      <w:color w:val="568EC1"/>
      <w:u w:val="single"/>
    </w:rPr>
  </w:style>
  <w:style w:type="paragraph" w:styleId="BodyText">
    <w:name w:val="Body Text"/>
    <w:basedOn w:val="Normal"/>
    <w:link w:val="BodyTextChar"/>
    <w:uiPriority w:val="99"/>
    <w:semiHidden/>
    <w:unhideWhenUsed/>
    <w:rsid w:val="00067272"/>
    <w:pPr>
      <w:spacing w:after="120"/>
    </w:pPr>
  </w:style>
  <w:style w:type="character" w:customStyle="1" w:styleId="BodyTextChar">
    <w:name w:val="Body Text Char"/>
    <w:basedOn w:val="DefaultParagraphFont"/>
    <w:link w:val="BodyText"/>
    <w:uiPriority w:val="99"/>
    <w:semiHidden/>
    <w:rsid w:val="00067272"/>
  </w:style>
  <w:style w:type="paragraph" w:customStyle="1" w:styleId="TableParagraph">
    <w:name w:val="Table Paragraph"/>
    <w:basedOn w:val="Normal"/>
    <w:uiPriority w:val="1"/>
    <w:qFormat/>
    <w:rsid w:val="00C03C42"/>
    <w:pPr>
      <w:widowControl w:val="0"/>
      <w:autoSpaceDE w:val="0"/>
      <w:autoSpaceDN w:val="0"/>
      <w:spacing w:after="0" w:line="240" w:lineRule="auto"/>
      <w:ind w:left="112"/>
    </w:pPr>
    <w:rPr>
      <w:rFonts w:ascii="Arial" w:eastAsia="Arial" w:hAnsi="Arial" w:cs="Arial"/>
      <w:lang w:bidi="en-US"/>
    </w:rPr>
  </w:style>
  <w:style w:type="paragraph" w:styleId="BodyTextIndent">
    <w:name w:val="Body Text Indent"/>
    <w:basedOn w:val="Normal"/>
    <w:link w:val="BodyTextIndentChar"/>
    <w:uiPriority w:val="99"/>
    <w:semiHidden/>
    <w:unhideWhenUsed/>
    <w:rsid w:val="00ED7DDD"/>
    <w:pPr>
      <w:spacing w:after="120"/>
      <w:ind w:left="360"/>
    </w:pPr>
  </w:style>
  <w:style w:type="character" w:customStyle="1" w:styleId="BodyTextIndentChar">
    <w:name w:val="Body Text Indent Char"/>
    <w:basedOn w:val="DefaultParagraphFont"/>
    <w:link w:val="BodyTextIndent"/>
    <w:uiPriority w:val="99"/>
    <w:semiHidden/>
    <w:rsid w:val="00ED7DDD"/>
  </w:style>
  <w:style w:type="character" w:styleId="CommentReference">
    <w:name w:val="annotation reference"/>
    <w:uiPriority w:val="99"/>
    <w:semiHidden/>
    <w:unhideWhenUsed/>
    <w:rsid w:val="00463139"/>
    <w:rPr>
      <w:sz w:val="16"/>
      <w:szCs w:val="16"/>
    </w:rPr>
  </w:style>
  <w:style w:type="paragraph" w:styleId="CommentText">
    <w:name w:val="annotation text"/>
    <w:basedOn w:val="Normal"/>
    <w:link w:val="CommentTextChar"/>
    <w:uiPriority w:val="99"/>
    <w:semiHidden/>
    <w:unhideWhenUsed/>
    <w:rsid w:val="00463139"/>
    <w:pPr>
      <w:spacing w:line="240" w:lineRule="auto"/>
    </w:pPr>
    <w:rPr>
      <w:sz w:val="20"/>
      <w:szCs w:val="20"/>
    </w:rPr>
  </w:style>
  <w:style w:type="character" w:customStyle="1" w:styleId="CommentTextChar">
    <w:name w:val="Comment Text Char"/>
    <w:link w:val="CommentText"/>
    <w:uiPriority w:val="99"/>
    <w:semiHidden/>
    <w:rsid w:val="00463139"/>
    <w:rPr>
      <w:sz w:val="20"/>
      <w:szCs w:val="20"/>
    </w:rPr>
  </w:style>
  <w:style w:type="paragraph" w:styleId="CommentSubject">
    <w:name w:val="annotation subject"/>
    <w:basedOn w:val="CommentText"/>
    <w:next w:val="CommentText"/>
    <w:link w:val="CommentSubjectChar"/>
    <w:uiPriority w:val="99"/>
    <w:semiHidden/>
    <w:unhideWhenUsed/>
    <w:rsid w:val="00463139"/>
    <w:rPr>
      <w:b/>
      <w:bCs/>
    </w:rPr>
  </w:style>
  <w:style w:type="character" w:customStyle="1" w:styleId="CommentSubjectChar">
    <w:name w:val="Comment Subject Char"/>
    <w:link w:val="CommentSubject"/>
    <w:uiPriority w:val="99"/>
    <w:semiHidden/>
    <w:rsid w:val="00463139"/>
    <w:rPr>
      <w:b/>
      <w:bCs/>
      <w:sz w:val="20"/>
      <w:szCs w:val="20"/>
    </w:rPr>
  </w:style>
  <w:style w:type="character" w:styleId="UnresolvedMention">
    <w:name w:val="Unresolved Mention"/>
    <w:uiPriority w:val="99"/>
    <w:semiHidden/>
    <w:unhideWhenUsed/>
    <w:rsid w:val="00264EB2"/>
    <w:rPr>
      <w:color w:val="605E5C"/>
      <w:shd w:val="clear" w:color="auto" w:fill="E1DFDD"/>
    </w:rPr>
  </w:style>
  <w:style w:type="character" w:styleId="FollowedHyperlink">
    <w:name w:val="FollowedHyperlink"/>
    <w:uiPriority w:val="99"/>
    <w:semiHidden/>
    <w:unhideWhenUsed/>
    <w:rsid w:val="00264EB2"/>
    <w:rPr>
      <w:color w:val="568EC1"/>
      <w:u w:val="single"/>
    </w:rPr>
  </w:style>
  <w:style w:type="paragraph" w:styleId="Revision">
    <w:name w:val="Revision"/>
    <w:hidden/>
    <w:uiPriority w:val="99"/>
    <w:semiHidden/>
    <w:rsid w:val="007540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71865">
      <w:bodyDiv w:val="1"/>
      <w:marLeft w:val="0"/>
      <w:marRight w:val="0"/>
      <w:marTop w:val="0"/>
      <w:marBottom w:val="0"/>
      <w:divBdr>
        <w:top w:val="none" w:sz="0" w:space="0" w:color="auto"/>
        <w:left w:val="none" w:sz="0" w:space="0" w:color="auto"/>
        <w:bottom w:val="none" w:sz="0" w:space="0" w:color="auto"/>
        <w:right w:val="none" w:sz="0" w:space="0" w:color="auto"/>
      </w:divBdr>
    </w:div>
    <w:div w:id="21388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ba.sc.gov/sites/default/files/plan_of_benefits.pdf" TargetMode="External"/><Relationship Id="rId13" Type="http://schemas.openxmlformats.org/officeDocument/2006/relationships/hyperlink" Target="https://peba.sc.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care.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eba.s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ba.sc.gov/forms" TargetMode="External"/><Relationship Id="rId5" Type="http://schemas.openxmlformats.org/officeDocument/2006/relationships/webSettings" Target="webSettings.xml"/><Relationship Id="rId15" Type="http://schemas.openxmlformats.org/officeDocument/2006/relationships/hyperlink" Target="mailto:phig@cms.hhs.gov" TargetMode="External"/><Relationship Id="rId10" Type="http://schemas.openxmlformats.org/officeDocument/2006/relationships/hyperlink" Target="https://peba.sc.gov/for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ba.sc.gov/forms" TargetMode="External"/><Relationship Id="rId14" Type="http://schemas.openxmlformats.org/officeDocument/2006/relationships/hyperlink" Target="http://www.cms.gov/CCIIO/Programs-and-Initiatives/Other-Insurance-Protections/cobra_fact_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448E-F797-4D06-8B6C-4AB101DC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24295</CharactersWithSpaces>
  <SharedDoc>false</SharedDoc>
  <HLinks>
    <vt:vector size="54" baseType="variant">
      <vt:variant>
        <vt:i4>524302</vt:i4>
      </vt:variant>
      <vt:variant>
        <vt:i4>24</vt:i4>
      </vt:variant>
      <vt:variant>
        <vt:i4>0</vt:i4>
      </vt:variant>
      <vt:variant>
        <vt:i4>5</vt:i4>
      </vt:variant>
      <vt:variant>
        <vt:lpwstr>https://peba.sc.gov/</vt:lpwstr>
      </vt:variant>
      <vt:variant>
        <vt:lpwstr/>
      </vt:variant>
      <vt:variant>
        <vt:i4>5308457</vt:i4>
      </vt:variant>
      <vt:variant>
        <vt:i4>21</vt:i4>
      </vt:variant>
      <vt:variant>
        <vt:i4>0</vt:i4>
      </vt:variant>
      <vt:variant>
        <vt:i4>5</vt:i4>
      </vt:variant>
      <vt:variant>
        <vt:lpwstr>mailto:phig@cms.hhs.gov</vt:lpwstr>
      </vt:variant>
      <vt:variant>
        <vt:lpwstr/>
      </vt:variant>
      <vt:variant>
        <vt:i4>589919</vt:i4>
      </vt:variant>
      <vt:variant>
        <vt:i4>18</vt:i4>
      </vt:variant>
      <vt:variant>
        <vt:i4>0</vt:i4>
      </vt:variant>
      <vt:variant>
        <vt:i4>5</vt:i4>
      </vt:variant>
      <vt:variant>
        <vt:lpwstr>http://www.cms.gov/CCIIO/Programs-and-Initiatives/Other-Insurance-Protections/cobra_fact_sheet</vt:lpwstr>
      </vt:variant>
      <vt:variant>
        <vt:lpwstr/>
      </vt:variant>
      <vt:variant>
        <vt:i4>524302</vt:i4>
      </vt:variant>
      <vt:variant>
        <vt:i4>15</vt:i4>
      </vt:variant>
      <vt:variant>
        <vt:i4>0</vt:i4>
      </vt:variant>
      <vt:variant>
        <vt:i4>5</vt:i4>
      </vt:variant>
      <vt:variant>
        <vt:lpwstr>https://peba.sc.gov/</vt:lpwstr>
      </vt:variant>
      <vt:variant>
        <vt:lpwstr/>
      </vt:variant>
      <vt:variant>
        <vt:i4>2687012</vt:i4>
      </vt:variant>
      <vt:variant>
        <vt:i4>12</vt:i4>
      </vt:variant>
      <vt:variant>
        <vt:i4>0</vt:i4>
      </vt:variant>
      <vt:variant>
        <vt:i4>5</vt:i4>
      </vt:variant>
      <vt:variant>
        <vt:lpwstr>http://www.healthcare.gov/</vt:lpwstr>
      </vt:variant>
      <vt:variant>
        <vt:lpwstr/>
      </vt:variant>
      <vt:variant>
        <vt:i4>655386</vt:i4>
      </vt:variant>
      <vt:variant>
        <vt:i4>9</vt:i4>
      </vt:variant>
      <vt:variant>
        <vt:i4>0</vt:i4>
      </vt:variant>
      <vt:variant>
        <vt:i4>5</vt:i4>
      </vt:variant>
      <vt:variant>
        <vt:lpwstr>https://peba.sc.gov/forms</vt:lpwstr>
      </vt:variant>
      <vt:variant>
        <vt:lpwstr/>
      </vt:variant>
      <vt:variant>
        <vt:i4>655386</vt:i4>
      </vt:variant>
      <vt:variant>
        <vt:i4>6</vt:i4>
      </vt:variant>
      <vt:variant>
        <vt:i4>0</vt:i4>
      </vt:variant>
      <vt:variant>
        <vt:i4>5</vt:i4>
      </vt:variant>
      <vt:variant>
        <vt:lpwstr>https://peba.sc.gov/forms</vt:lpwstr>
      </vt:variant>
      <vt:variant>
        <vt:lpwstr/>
      </vt:variant>
      <vt:variant>
        <vt:i4>655386</vt:i4>
      </vt:variant>
      <vt:variant>
        <vt:i4>3</vt:i4>
      </vt:variant>
      <vt:variant>
        <vt:i4>0</vt:i4>
      </vt:variant>
      <vt:variant>
        <vt:i4>5</vt:i4>
      </vt:variant>
      <vt:variant>
        <vt:lpwstr>https://peba.sc.gov/forms</vt:lpwstr>
      </vt:variant>
      <vt:variant>
        <vt:lpwstr/>
      </vt:variant>
      <vt:variant>
        <vt:i4>7405692</vt:i4>
      </vt:variant>
      <vt:variant>
        <vt:i4>0</vt:i4>
      </vt:variant>
      <vt:variant>
        <vt:i4>0</vt:i4>
      </vt:variant>
      <vt:variant>
        <vt:i4>5</vt:i4>
      </vt:variant>
      <vt:variant>
        <vt:lpwstr>https://peba.sc.gov/sites/default/files/plan_of_benefits.pdf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Warren</dc:creator>
  <cp:keywords/>
  <dc:description/>
  <cp:lastModifiedBy>Heather H. Young</cp:lastModifiedBy>
  <cp:revision>3</cp:revision>
  <cp:lastPrinted>2020-05-22T19:02:00Z</cp:lastPrinted>
  <dcterms:created xsi:type="dcterms:W3CDTF">2025-12-11T21:28:00Z</dcterms:created>
  <dcterms:modified xsi:type="dcterms:W3CDTF">2025-12-11T21:29:00Z</dcterms:modified>
</cp:coreProperties>
</file>