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DE5E3" w14:textId="77777777" w:rsidR="006D1F7A" w:rsidRPr="007A5F93" w:rsidRDefault="007A5F93" w:rsidP="006D1F7A">
      <w:pPr>
        <w:spacing w:after="0"/>
        <w:rPr>
          <w:b/>
          <w:sz w:val="24"/>
          <w:szCs w:val="24"/>
        </w:rPr>
      </w:pPr>
      <w:bookmarkStart w:id="0" w:name="_GoBack"/>
      <w:bookmarkEnd w:id="0"/>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14:paraId="7DE913DF" w14:textId="77777777" w:rsidR="006D1F7A" w:rsidRDefault="006D1F7A" w:rsidP="006D1F7A">
      <w:pPr>
        <w:spacing w:after="0"/>
      </w:pPr>
    </w:p>
    <w:p w14:paraId="71AC4D1E" w14:textId="77777777"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w:t>
      </w:r>
      <w:proofErr w:type="gramStart"/>
      <w:r w:rsidRPr="00FF4795">
        <w:rPr>
          <w:rFonts w:ascii="Calibri" w:hAnsi="Calibri"/>
          <w:sz w:val="24"/>
          <w:szCs w:val="24"/>
        </w:rPr>
        <w:t>trusts</w:t>
      </w:r>
      <w:proofErr w:type="gramEnd"/>
      <w:r w:rsidRPr="00FF4795">
        <w:rPr>
          <w:rFonts w:ascii="Calibri" w:hAnsi="Calibri"/>
          <w:sz w:val="24"/>
          <w:szCs w:val="24"/>
        </w:rPr>
        <w:t xml:space="preserve"> and retirement systems and is part of the State of South Carolina primary government.</w:t>
      </w:r>
    </w:p>
    <w:p w14:paraId="7A176285" w14:textId="77777777" w:rsidR="006D1F7A" w:rsidRPr="00FF4795" w:rsidRDefault="006D1F7A" w:rsidP="006D1F7A">
      <w:pPr>
        <w:pStyle w:val="NoSpacing"/>
        <w:ind w:left="864"/>
        <w:jc w:val="both"/>
        <w:rPr>
          <w:rFonts w:ascii="Calibri" w:hAnsi="Calibri"/>
          <w:sz w:val="24"/>
          <w:szCs w:val="24"/>
        </w:rPr>
      </w:pPr>
    </w:p>
    <w:p w14:paraId="6E2B746F" w14:textId="77777777"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(SFFA),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14:paraId="141ECABA" w14:textId="77777777" w:rsidR="00556577" w:rsidRDefault="00556577" w:rsidP="006D1F7A">
      <w:pPr>
        <w:spacing w:after="0"/>
        <w:jc w:val="both"/>
        <w:rPr>
          <w:rFonts w:ascii="Calibri" w:hAnsi="Calibri"/>
          <w:sz w:val="24"/>
          <w:szCs w:val="24"/>
        </w:rPr>
      </w:pPr>
    </w:p>
    <w:p w14:paraId="7C53F38B" w14:textId="77777777" w:rsidR="00CD07E8" w:rsidRDefault="00CD07E8" w:rsidP="006D1F7A">
      <w:pPr>
        <w:spacing w:after="0"/>
        <w:jc w:val="both"/>
        <w:rPr>
          <w:b/>
          <w:sz w:val="24"/>
          <w:szCs w:val="24"/>
          <w:u w:val="single"/>
        </w:rPr>
      </w:pPr>
      <w:r>
        <w:rPr>
          <w:b/>
          <w:sz w:val="24"/>
          <w:szCs w:val="24"/>
          <w:u w:val="single"/>
        </w:rPr>
        <w:t>Plan Descriptions</w:t>
      </w:r>
    </w:p>
    <w:p w14:paraId="3BB3219E"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w:t>
      </w:r>
      <w:proofErr w:type="gramStart"/>
      <w:r w:rsidRPr="00FF4795">
        <w:rPr>
          <w:rFonts w:ascii="Calibri" w:hAnsi="Calibri"/>
          <w:sz w:val="24"/>
          <w:szCs w:val="24"/>
        </w:rPr>
        <w:t>May</w:t>
      </w:r>
      <w:r w:rsidR="002B7D61">
        <w:rPr>
          <w:rFonts w:ascii="Calibri" w:hAnsi="Calibri"/>
          <w:sz w:val="24"/>
          <w:szCs w:val="24"/>
        </w:rPr>
        <w:t>,</w:t>
      </w:r>
      <w:proofErr w:type="gramEnd"/>
      <w:r w:rsidRPr="00FF4795">
        <w:rPr>
          <w:rFonts w:ascii="Calibri" w:hAnsi="Calibri"/>
          <w:sz w:val="24"/>
          <w:szCs w:val="24"/>
        </w:rPr>
        <w:t xml:space="preserve">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14:paraId="621D89A1" w14:textId="77777777" w:rsidR="00CD07E8" w:rsidRDefault="00CD07E8" w:rsidP="00A93C23">
      <w:pPr>
        <w:pStyle w:val="NoSpacing"/>
        <w:jc w:val="both"/>
        <w:rPr>
          <w:rFonts w:ascii="Calibri" w:hAnsi="Calibri"/>
          <w:sz w:val="24"/>
          <w:szCs w:val="24"/>
        </w:rPr>
      </w:pPr>
    </w:p>
    <w:p w14:paraId="2235E086"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14:paraId="07F331E6" w14:textId="77777777" w:rsidR="00CD07E8" w:rsidRDefault="00CD07E8" w:rsidP="00A93C23">
      <w:pPr>
        <w:pStyle w:val="NoSpacing"/>
        <w:jc w:val="both"/>
        <w:rPr>
          <w:rFonts w:ascii="Calibri" w:hAnsi="Calibri"/>
          <w:sz w:val="24"/>
          <w:szCs w:val="24"/>
        </w:rPr>
      </w:pPr>
    </w:p>
    <w:p w14:paraId="17CE0765" w14:textId="77777777" w:rsidR="00CD07E8" w:rsidRDefault="00CD07E8" w:rsidP="00A93C23">
      <w:pPr>
        <w:pStyle w:val="NoSpacing"/>
        <w:jc w:val="both"/>
        <w:rPr>
          <w:rFonts w:ascii="Calibri" w:hAnsi="Calibri"/>
          <w:sz w:val="24"/>
          <w:szCs w:val="24"/>
        </w:rPr>
      </w:pPr>
      <w:r w:rsidRPr="00FF4795">
        <w:rPr>
          <w:rFonts w:ascii="Calibri" w:hAnsi="Calibri"/>
          <w:sz w:val="24"/>
          <w:szCs w:val="24"/>
        </w:rPr>
        <w:t xml:space="preserve">The OPEB Trusts are cost-sharing multiple-employer defined benefit </w:t>
      </w:r>
      <w:r w:rsidR="00DF1998">
        <w:rPr>
          <w:rFonts w:ascii="Calibri" w:hAnsi="Calibri"/>
          <w:sz w:val="24"/>
          <w:szCs w:val="24"/>
        </w:rPr>
        <w:t xml:space="preserve">OPEB </w:t>
      </w:r>
      <w:r w:rsidRPr="00FF4795">
        <w:rPr>
          <w:rFonts w:ascii="Calibri" w:hAnsi="Calibri"/>
          <w:sz w:val="24"/>
          <w:szCs w:val="24"/>
        </w:rPr>
        <w:t>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14:paraId="55FE6211" w14:textId="77777777" w:rsidR="00A93C23" w:rsidRDefault="00A93C23" w:rsidP="00A93C23">
      <w:pPr>
        <w:pStyle w:val="NoSpacing"/>
        <w:jc w:val="both"/>
        <w:rPr>
          <w:rFonts w:ascii="Calibri" w:hAnsi="Calibri"/>
          <w:sz w:val="24"/>
          <w:szCs w:val="24"/>
        </w:rPr>
      </w:pPr>
    </w:p>
    <w:p w14:paraId="1B04FEBE" w14:textId="77777777" w:rsidR="00CD07E8" w:rsidRDefault="00CD07E8" w:rsidP="00CD07E8">
      <w:pPr>
        <w:spacing w:after="0"/>
        <w:jc w:val="both"/>
        <w:rPr>
          <w:b/>
          <w:sz w:val="24"/>
          <w:szCs w:val="24"/>
          <w:u w:val="single"/>
        </w:rPr>
      </w:pPr>
      <w:r>
        <w:rPr>
          <w:b/>
          <w:sz w:val="24"/>
          <w:szCs w:val="24"/>
          <w:u w:val="single"/>
        </w:rPr>
        <w:lastRenderedPageBreak/>
        <w:t>Benefits</w:t>
      </w:r>
    </w:p>
    <w:p w14:paraId="29AD8D53" w14:textId="77777777"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2008 and after, retirees are eligible for benefits if they have established 25 years of service for 100% employer funding and 15-24 years of service for 50% employer funding.</w:t>
      </w:r>
    </w:p>
    <w:p w14:paraId="02137BE1" w14:textId="77777777" w:rsidR="00CD07E8" w:rsidRPr="00D2418F" w:rsidRDefault="00CD07E8" w:rsidP="00CD07E8">
      <w:pPr>
        <w:pStyle w:val="NoSpacing"/>
        <w:ind w:left="864"/>
        <w:jc w:val="both"/>
        <w:rPr>
          <w:rFonts w:ascii="Calibri" w:hAnsi="Calibri"/>
        </w:rPr>
      </w:pPr>
    </w:p>
    <w:p w14:paraId="4084083B" w14:textId="77777777"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14:paraId="243CA0B2" w14:textId="77777777" w:rsidR="003B5773" w:rsidRPr="00D2418F" w:rsidRDefault="003B5773" w:rsidP="00D2418F">
      <w:pPr>
        <w:spacing w:after="0"/>
        <w:rPr>
          <w:rFonts w:ascii="Calibri" w:hAnsi="Calibri"/>
        </w:rPr>
      </w:pPr>
    </w:p>
    <w:p w14:paraId="44ED8E4D" w14:textId="77777777"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14:paraId="6878FE4E" w14:textId="77777777"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PEBA – Insurance Benefits.    N</w:t>
      </w:r>
      <w:r w:rsidR="00DF1998">
        <w:rPr>
          <w:rFonts w:ascii="Calibri" w:hAnsi="Calibri"/>
          <w:sz w:val="24"/>
          <w:szCs w:val="24"/>
        </w:rPr>
        <w:t>on-employer contributions</w:t>
      </w:r>
      <w:r w:rsidR="002B7D61">
        <w:rPr>
          <w:rFonts w:ascii="Calibri" w:hAnsi="Calibri"/>
          <w:sz w:val="24"/>
          <w:szCs w:val="24"/>
        </w:rPr>
        <w:t xml:space="preserve"> consist </w:t>
      </w:r>
      <w:r w:rsidR="005F17A0">
        <w:rPr>
          <w:rFonts w:ascii="Calibri" w:hAnsi="Calibri"/>
          <w:sz w:val="24"/>
          <w:szCs w:val="24"/>
        </w:rPr>
        <w:t>of an</w:t>
      </w:r>
      <w:r w:rsidR="00C72F3B">
        <w:rPr>
          <w:rFonts w:ascii="Calibri" w:hAnsi="Calibri"/>
          <w:sz w:val="24"/>
          <w:szCs w:val="24"/>
        </w:rPr>
        <w:t xml:space="preserve"> annual appropriation by the General Assembly and the statutorily required transfer from PEBA – Insurance Benefits reserves</w:t>
      </w:r>
      <w:r>
        <w:rPr>
          <w:rFonts w:ascii="Calibri" w:hAnsi="Calibri"/>
          <w:sz w:val="24"/>
          <w:szCs w:val="24"/>
        </w:rPr>
        <w:t>.</w:t>
      </w:r>
    </w:p>
    <w:p w14:paraId="04C0EA7B" w14:textId="77777777" w:rsidR="005F17A0" w:rsidRPr="00D2418F" w:rsidRDefault="005F17A0" w:rsidP="0059318D">
      <w:pPr>
        <w:pStyle w:val="NoSpacing"/>
        <w:jc w:val="both"/>
        <w:rPr>
          <w:rFonts w:ascii="Calibri" w:hAnsi="Calibri"/>
        </w:rPr>
      </w:pPr>
    </w:p>
    <w:p w14:paraId="77F0129F" w14:textId="77777777"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The covered payroll surcharge for the year ended June 30, 201</w:t>
      </w:r>
      <w:r w:rsidR="00255DF1">
        <w:rPr>
          <w:rFonts w:ascii="Calibri" w:hAnsi="Calibri"/>
          <w:sz w:val="24"/>
          <w:szCs w:val="24"/>
        </w:rPr>
        <w:t>9</w:t>
      </w:r>
      <w:r w:rsidR="0059318D">
        <w:rPr>
          <w:rFonts w:ascii="Calibri" w:hAnsi="Calibri"/>
          <w:sz w:val="24"/>
          <w:szCs w:val="24"/>
        </w:rPr>
        <w:t xml:space="preserve"> was </w:t>
      </w:r>
      <w:r w:rsidR="00255DF1">
        <w:rPr>
          <w:rFonts w:ascii="Calibri" w:hAnsi="Calibri"/>
          <w:sz w:val="24"/>
          <w:szCs w:val="24"/>
        </w:rPr>
        <w:t>6</w:t>
      </w:r>
      <w:r w:rsidR="009C4CCA">
        <w:rPr>
          <w:rFonts w:ascii="Calibri" w:hAnsi="Calibri"/>
          <w:sz w:val="24"/>
          <w:szCs w:val="24"/>
        </w:rPr>
        <w:t>.</w:t>
      </w:r>
      <w:r w:rsidR="00255DF1">
        <w:rPr>
          <w:rFonts w:ascii="Calibri" w:hAnsi="Calibri"/>
          <w:sz w:val="24"/>
          <w:szCs w:val="24"/>
        </w:rPr>
        <w:t>0</w:t>
      </w:r>
      <w:r w:rsidR="009C4CCA">
        <w:rPr>
          <w:rFonts w:ascii="Calibri" w:hAnsi="Calibri"/>
          <w:sz w:val="24"/>
          <w:szCs w:val="24"/>
        </w:rPr>
        <w:t>5</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premiums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D2418F">
        <w:rPr>
          <w:rFonts w:ascii="Calibri" w:hAnsi="Calibri"/>
          <w:sz w:val="24"/>
          <w:szCs w:val="24"/>
        </w:rPr>
        <w:t>Non-employer contributions include the mandatory transfer of accumulated PEBA – Insurance Benefits’ reserves</w:t>
      </w:r>
      <w:r w:rsidR="00A502D3">
        <w:rPr>
          <w:rFonts w:ascii="Calibri" w:hAnsi="Calibri"/>
          <w:sz w:val="24"/>
          <w:szCs w:val="24"/>
        </w:rPr>
        <w:t xml:space="preserve"> and the annual appropriation budgeted by the General Assembly.</w:t>
      </w:r>
      <w:r w:rsidR="00D2418F">
        <w:rPr>
          <w:rFonts w:ascii="Calibri" w:hAnsi="Calibri"/>
          <w:sz w:val="24"/>
          <w:szCs w:val="24"/>
        </w:rPr>
        <w:t xml:space="preserve">  It is also funded through investment income.</w:t>
      </w:r>
    </w:p>
    <w:p w14:paraId="500768D4" w14:textId="77777777" w:rsidR="0059318D" w:rsidRPr="00D2418F" w:rsidRDefault="0059318D" w:rsidP="0059318D">
      <w:pPr>
        <w:pStyle w:val="NoSpacing"/>
        <w:jc w:val="both"/>
        <w:rPr>
          <w:rFonts w:ascii="Calibri" w:hAnsi="Calibri"/>
        </w:rPr>
      </w:pPr>
    </w:p>
    <w:p w14:paraId="474D6BA6" w14:textId="77777777" w:rsidR="003B5773" w:rsidRDefault="005F17A0" w:rsidP="0059318D">
      <w:pPr>
        <w:spacing w:after="0"/>
        <w:jc w:val="both"/>
        <w:rPr>
          <w:rFonts w:ascii="Calibri" w:hAnsi="Calibri"/>
          <w:sz w:val="24"/>
          <w:szCs w:val="24"/>
        </w:rPr>
      </w:pPr>
      <w:r>
        <w:rPr>
          <w:rFonts w:ascii="Calibri" w:hAnsi="Calibri"/>
          <w:sz w:val="24"/>
          <w:szCs w:val="24"/>
        </w:rPr>
        <w:t>The SCLTDITF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June 30, 201</w:t>
      </w:r>
      <w:r w:rsidR="00255DF1">
        <w:rPr>
          <w:rFonts w:ascii="Calibri" w:hAnsi="Calibri"/>
          <w:sz w:val="24"/>
          <w:szCs w:val="24"/>
        </w:rPr>
        <w:t>9</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14:paraId="0027A8F5" w14:textId="77777777" w:rsidR="00794E29" w:rsidRDefault="00794E29" w:rsidP="0059318D">
      <w:pPr>
        <w:spacing w:after="0"/>
        <w:jc w:val="both"/>
        <w:rPr>
          <w:rFonts w:ascii="Calibri" w:hAnsi="Calibri"/>
          <w:sz w:val="24"/>
          <w:szCs w:val="24"/>
        </w:rPr>
      </w:pPr>
      <w:r>
        <w:rPr>
          <w:rFonts w:ascii="Calibri" w:hAnsi="Calibri"/>
          <w:sz w:val="24"/>
          <w:szCs w:val="24"/>
        </w:rPr>
        <w:lastRenderedPageBreak/>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201</w:t>
      </w:r>
      <w:r w:rsidR="00255DF1">
        <w:rPr>
          <w:rFonts w:ascii="Calibri" w:hAnsi="Calibri"/>
          <w:sz w:val="24"/>
          <w:szCs w:val="24"/>
        </w:rPr>
        <w:t>9</w:t>
      </w:r>
      <w:r w:rsidR="002325D1">
        <w:rPr>
          <w:rFonts w:ascii="Calibri" w:hAnsi="Calibri"/>
          <w:sz w:val="24"/>
          <w:szCs w:val="24"/>
        </w:rPr>
        <w:t xml:space="preserve"> totaled $</w:t>
      </w:r>
      <w:r w:rsidR="00255DF1">
        <w:rPr>
          <w:rFonts w:ascii="Calibri" w:hAnsi="Calibri"/>
          <w:sz w:val="24"/>
          <w:szCs w:val="24"/>
        </w:rPr>
        <w:t>529</w:t>
      </w:r>
      <w:r w:rsidR="002325D1">
        <w:rPr>
          <w:rFonts w:ascii="Calibri" w:hAnsi="Calibri"/>
          <w:sz w:val="24"/>
          <w:szCs w:val="24"/>
        </w:rPr>
        <w:t>,</w:t>
      </w:r>
      <w:r w:rsidR="00255DF1">
        <w:rPr>
          <w:rFonts w:ascii="Calibri" w:hAnsi="Calibri"/>
          <w:sz w:val="24"/>
          <w:szCs w:val="24"/>
        </w:rPr>
        <w:t>122</w:t>
      </w:r>
      <w:r w:rsidR="002325D1">
        <w:rPr>
          <w:rFonts w:ascii="Calibri" w:hAnsi="Calibri"/>
          <w:sz w:val="24"/>
          <w:szCs w:val="24"/>
        </w:rPr>
        <w:t>,</w:t>
      </w:r>
      <w:r w:rsidR="00255DF1">
        <w:rPr>
          <w:rFonts w:ascii="Calibri" w:hAnsi="Calibri"/>
          <w:sz w:val="24"/>
          <w:szCs w:val="24"/>
        </w:rPr>
        <w:t>849</w:t>
      </w:r>
      <w:r w:rsidR="002325D1">
        <w:rPr>
          <w:rFonts w:ascii="Calibri" w:hAnsi="Calibri"/>
          <w:sz w:val="24"/>
          <w:szCs w:val="24"/>
        </w:rPr>
        <w:t>.  However, the covered payroll contributions total includes prior year covered payroll contribution adjustments and true-ups that net to a total of $</w:t>
      </w:r>
      <w:r w:rsidR="00255DF1">
        <w:rPr>
          <w:rFonts w:ascii="Calibri" w:hAnsi="Calibri"/>
          <w:sz w:val="24"/>
          <w:szCs w:val="24"/>
        </w:rPr>
        <w:t>190</w:t>
      </w:r>
      <w:r w:rsidR="002325D1">
        <w:rPr>
          <w:rFonts w:ascii="Calibri" w:hAnsi="Calibri"/>
          <w:sz w:val="24"/>
          <w:szCs w:val="24"/>
        </w:rPr>
        <w:t>,</w:t>
      </w:r>
      <w:r w:rsidR="00255DF1">
        <w:rPr>
          <w:rFonts w:ascii="Calibri" w:hAnsi="Calibri"/>
          <w:sz w:val="24"/>
          <w:szCs w:val="24"/>
        </w:rPr>
        <w:t>548</w:t>
      </w:r>
      <w:r w:rsidR="002325D1">
        <w:rPr>
          <w:rFonts w:ascii="Calibri" w:hAnsi="Calibri"/>
          <w:sz w:val="24"/>
          <w:szCs w:val="24"/>
        </w:rPr>
        <w:t>.</w:t>
      </w:r>
    </w:p>
    <w:p w14:paraId="0C8976D4" w14:textId="77777777" w:rsidR="00794E29" w:rsidRDefault="00794E29" w:rsidP="0059318D">
      <w:pPr>
        <w:spacing w:after="0"/>
        <w:jc w:val="both"/>
        <w:rPr>
          <w:rFonts w:ascii="Calibri" w:hAnsi="Calibri"/>
          <w:sz w:val="24"/>
          <w:szCs w:val="24"/>
        </w:rPr>
      </w:pPr>
    </w:p>
    <w:p w14:paraId="10A062DC" w14:textId="77777777"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14:paraId="73FD4A7B" w14:textId="77777777" w:rsidR="00982928" w:rsidRDefault="00982928" w:rsidP="0059318D">
      <w:pPr>
        <w:spacing w:after="0"/>
        <w:jc w:val="both"/>
        <w:rPr>
          <w:rFonts w:ascii="Calibri" w:hAnsi="Calibri"/>
          <w:sz w:val="24"/>
          <w:szCs w:val="24"/>
        </w:rPr>
      </w:pPr>
    </w:p>
    <w:p w14:paraId="571F46F5" w14:textId="77777777"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14:paraId="65F20762" w14:textId="77777777" w:rsidR="00982928" w:rsidRDefault="00982928" w:rsidP="00982928">
      <w:pPr>
        <w:spacing w:after="0"/>
        <w:jc w:val="both"/>
        <w:rPr>
          <w:rFonts w:ascii="Calibri" w:hAnsi="Calibri"/>
          <w:sz w:val="24"/>
          <w:szCs w:val="24"/>
        </w:rPr>
      </w:pPr>
    </w:p>
    <w:p w14:paraId="11122767" w14:textId="77777777"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14:paraId="007E4402" w14:textId="77777777" w:rsidR="00982928" w:rsidRDefault="00982928" w:rsidP="0059318D">
      <w:pPr>
        <w:spacing w:after="0"/>
        <w:jc w:val="both"/>
        <w:rPr>
          <w:rFonts w:ascii="Calibri" w:hAnsi="Calibri"/>
          <w:sz w:val="24"/>
          <w:szCs w:val="24"/>
        </w:rPr>
      </w:pPr>
    </w:p>
    <w:p w14:paraId="0703ACF0" w14:textId="77777777"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14:paraId="330E2D1C" w14:textId="77777777"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14:paraId="41E559CF" w14:textId="77777777" w:rsidR="00982928" w:rsidRDefault="00982928">
      <w:pPr>
        <w:rPr>
          <w:rFonts w:ascii="Calibri" w:hAnsi="Calibri"/>
          <w:sz w:val="24"/>
          <w:szCs w:val="24"/>
        </w:rPr>
      </w:pPr>
    </w:p>
    <w:p w14:paraId="16B33919" w14:textId="77777777"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14:paraId="74A23C9C" w14:textId="77777777" w:rsidR="007A5F93" w:rsidRDefault="007A5F93" w:rsidP="007A5F93">
      <w:pPr>
        <w:pStyle w:val="NoSpacing"/>
        <w:jc w:val="both"/>
        <w:rPr>
          <w:rFonts w:ascii="Calibri" w:hAnsi="Calibri"/>
          <w:sz w:val="24"/>
          <w:szCs w:val="24"/>
        </w:rPr>
      </w:pPr>
    </w:p>
    <w:p w14:paraId="0EFC2649" w14:textId="77777777" w:rsidR="0006430D" w:rsidRDefault="0006430D" w:rsidP="0006430D">
      <w:pPr>
        <w:pStyle w:val="NoSpacing"/>
        <w:jc w:val="both"/>
        <w:rPr>
          <w:rFonts w:ascii="Calibri" w:hAnsi="Calibri"/>
          <w:sz w:val="24"/>
          <w:szCs w:val="24"/>
        </w:rPr>
      </w:pPr>
      <w:r>
        <w:rPr>
          <w:rFonts w:ascii="Calibri" w:hAnsi="Calibri"/>
          <w:sz w:val="24"/>
          <w:szCs w:val="24"/>
        </w:rPr>
        <w:t>Additional information as of the latest actuarial valuation for SCRHITF:</w:t>
      </w:r>
    </w:p>
    <w:p w14:paraId="7A556A80" w14:textId="77777777" w:rsidR="0006430D" w:rsidRPr="006F4727" w:rsidRDefault="0006430D" w:rsidP="0006430D">
      <w:pPr>
        <w:pStyle w:val="NoSpacing"/>
        <w:ind w:left="720"/>
        <w:jc w:val="both"/>
        <w:rPr>
          <w:rFonts w:ascii="Calibri" w:hAnsi="Calibri"/>
          <w:sz w:val="12"/>
          <w:szCs w:val="12"/>
        </w:rPr>
      </w:pPr>
    </w:p>
    <w:p w14:paraId="39E3A23E" w14:textId="77777777" w:rsidR="0006430D" w:rsidRDefault="0095119E" w:rsidP="0006430D">
      <w:pPr>
        <w:pStyle w:val="NoSpacing"/>
        <w:ind w:left="720"/>
        <w:jc w:val="both"/>
        <w:rPr>
          <w:rFonts w:ascii="Calibri" w:hAnsi="Calibri"/>
          <w:sz w:val="24"/>
          <w:szCs w:val="24"/>
        </w:rPr>
      </w:pPr>
      <w:r>
        <w:rPr>
          <w:rFonts w:ascii="Calibri" w:hAnsi="Calibri"/>
          <w:sz w:val="24"/>
          <w:szCs w:val="24"/>
        </w:rPr>
        <w:t>Valuation Date:</w:t>
      </w:r>
      <w:r>
        <w:rPr>
          <w:rFonts w:ascii="Calibri" w:hAnsi="Calibri"/>
          <w:sz w:val="24"/>
          <w:szCs w:val="24"/>
        </w:rPr>
        <w:tab/>
      </w:r>
      <w:r>
        <w:rPr>
          <w:rFonts w:ascii="Calibri" w:hAnsi="Calibri"/>
          <w:sz w:val="24"/>
          <w:szCs w:val="24"/>
        </w:rPr>
        <w:tab/>
        <w:t>June 30, 201</w:t>
      </w:r>
      <w:r w:rsidR="00255DF1">
        <w:rPr>
          <w:rFonts w:ascii="Calibri" w:hAnsi="Calibri"/>
          <w:sz w:val="24"/>
          <w:szCs w:val="24"/>
        </w:rPr>
        <w:t>8</w:t>
      </w:r>
    </w:p>
    <w:p w14:paraId="6CD3F42B" w14:textId="77777777" w:rsidR="0006430D" w:rsidRDefault="0006430D" w:rsidP="0006430D">
      <w:pPr>
        <w:pStyle w:val="NoSpacing"/>
        <w:ind w:left="720"/>
        <w:jc w:val="both"/>
        <w:rPr>
          <w:rFonts w:ascii="Calibri" w:hAnsi="Calibri"/>
          <w:sz w:val="24"/>
          <w:szCs w:val="24"/>
        </w:rPr>
      </w:pPr>
      <w:r>
        <w:rPr>
          <w:rFonts w:ascii="Calibri" w:hAnsi="Calibri"/>
          <w:sz w:val="24"/>
          <w:szCs w:val="24"/>
        </w:rPr>
        <w:t>Actuarial Cost Method:</w:t>
      </w:r>
      <w:r>
        <w:rPr>
          <w:rFonts w:ascii="Calibri" w:hAnsi="Calibri"/>
          <w:sz w:val="24"/>
          <w:szCs w:val="24"/>
        </w:rPr>
        <w:tab/>
        <w:t>Entry Age Normal</w:t>
      </w:r>
    </w:p>
    <w:p w14:paraId="1A4B190C" w14:textId="77777777" w:rsidR="0006430D" w:rsidRDefault="0006430D" w:rsidP="0006430D">
      <w:pPr>
        <w:pStyle w:val="NoSpacing"/>
        <w:ind w:left="720"/>
        <w:jc w:val="both"/>
        <w:rPr>
          <w:rFonts w:ascii="Calibri" w:hAnsi="Calibri"/>
          <w:sz w:val="24"/>
          <w:szCs w:val="24"/>
        </w:rPr>
      </w:pPr>
      <w:r>
        <w:rPr>
          <w:rFonts w:ascii="Calibri" w:hAnsi="Calibri"/>
          <w:sz w:val="24"/>
          <w:szCs w:val="24"/>
        </w:rPr>
        <w:t>Inflation:</w:t>
      </w:r>
      <w:r>
        <w:rPr>
          <w:rFonts w:ascii="Calibri" w:hAnsi="Calibri"/>
          <w:sz w:val="24"/>
          <w:szCs w:val="24"/>
        </w:rPr>
        <w:tab/>
      </w:r>
      <w:r>
        <w:rPr>
          <w:rFonts w:ascii="Calibri" w:hAnsi="Calibri"/>
          <w:sz w:val="24"/>
          <w:szCs w:val="24"/>
        </w:rPr>
        <w:tab/>
      </w:r>
      <w:r>
        <w:rPr>
          <w:rFonts w:ascii="Calibri" w:hAnsi="Calibri"/>
          <w:sz w:val="24"/>
          <w:szCs w:val="24"/>
        </w:rPr>
        <w:tab/>
        <w:t>2.25%</w:t>
      </w:r>
    </w:p>
    <w:p w14:paraId="4E0CABEA" w14:textId="77777777" w:rsidR="0006430D" w:rsidRDefault="0006430D" w:rsidP="00AB219E">
      <w:pPr>
        <w:pStyle w:val="NoSpacing"/>
        <w:ind w:left="3600" w:hanging="2880"/>
        <w:rPr>
          <w:rFonts w:ascii="Calibri" w:hAnsi="Calibri"/>
          <w:sz w:val="24"/>
          <w:szCs w:val="24"/>
        </w:rPr>
      </w:pPr>
      <w:r>
        <w:rPr>
          <w:rFonts w:ascii="Calibri" w:hAnsi="Calibri"/>
          <w:sz w:val="24"/>
          <w:szCs w:val="24"/>
        </w:rPr>
        <w:t>Investment Rate of Return:</w:t>
      </w:r>
      <w:r>
        <w:rPr>
          <w:rFonts w:ascii="Calibri" w:hAnsi="Calibri"/>
          <w:sz w:val="24"/>
          <w:szCs w:val="24"/>
        </w:rPr>
        <w:tab/>
      </w:r>
      <w:r w:rsidR="00413B79">
        <w:rPr>
          <w:rFonts w:ascii="Calibri" w:hAnsi="Calibri"/>
          <w:sz w:val="24"/>
          <w:szCs w:val="24"/>
        </w:rPr>
        <w:t>2</w:t>
      </w:r>
      <w:r>
        <w:rPr>
          <w:rFonts w:ascii="Calibri" w:hAnsi="Calibri"/>
          <w:sz w:val="24"/>
          <w:szCs w:val="24"/>
        </w:rPr>
        <w:t>.</w:t>
      </w:r>
      <w:r w:rsidR="00413B79">
        <w:rPr>
          <w:rFonts w:ascii="Calibri" w:hAnsi="Calibri"/>
          <w:sz w:val="24"/>
          <w:szCs w:val="24"/>
        </w:rPr>
        <w:t>75</w:t>
      </w:r>
      <w:r w:rsidR="009C4CCA">
        <w:rPr>
          <w:rFonts w:ascii="Calibri" w:hAnsi="Calibri"/>
          <w:sz w:val="24"/>
          <w:szCs w:val="24"/>
        </w:rPr>
        <w:t>%</w:t>
      </w:r>
      <w:r>
        <w:rPr>
          <w:rFonts w:ascii="Calibri" w:hAnsi="Calibri"/>
          <w:sz w:val="24"/>
          <w:szCs w:val="24"/>
        </w:rPr>
        <w:t>, net of OPEB Plan investment expense; including inflation</w:t>
      </w:r>
    </w:p>
    <w:p w14:paraId="572BFF95" w14:textId="77777777" w:rsidR="0006430D" w:rsidRDefault="009C4CCA" w:rsidP="0006430D">
      <w:pPr>
        <w:pStyle w:val="NoSpacing"/>
        <w:ind w:left="720"/>
        <w:rPr>
          <w:rFonts w:ascii="Calibri" w:hAnsi="Calibri"/>
          <w:sz w:val="24"/>
          <w:szCs w:val="24"/>
        </w:rPr>
      </w:pPr>
      <w:r>
        <w:rPr>
          <w:rFonts w:ascii="Calibri" w:hAnsi="Calibri"/>
          <w:sz w:val="24"/>
          <w:szCs w:val="24"/>
        </w:rPr>
        <w:t>Single Discount Rate:</w:t>
      </w:r>
      <w:r>
        <w:rPr>
          <w:rFonts w:ascii="Calibri" w:hAnsi="Calibri"/>
          <w:sz w:val="24"/>
          <w:szCs w:val="24"/>
        </w:rPr>
        <w:tab/>
      </w:r>
      <w:r>
        <w:rPr>
          <w:rFonts w:ascii="Calibri" w:hAnsi="Calibri"/>
          <w:sz w:val="24"/>
          <w:szCs w:val="24"/>
        </w:rPr>
        <w:tab/>
        <w:t>3.</w:t>
      </w:r>
      <w:r w:rsidR="00413B79">
        <w:rPr>
          <w:rFonts w:ascii="Calibri" w:hAnsi="Calibri"/>
          <w:sz w:val="24"/>
          <w:szCs w:val="24"/>
        </w:rPr>
        <w:t>13</w:t>
      </w:r>
      <w:r w:rsidR="0006430D">
        <w:rPr>
          <w:rFonts w:ascii="Calibri" w:hAnsi="Calibri"/>
          <w:sz w:val="24"/>
          <w:szCs w:val="24"/>
        </w:rPr>
        <w:t>% as of</w:t>
      </w:r>
      <w:r>
        <w:rPr>
          <w:rFonts w:ascii="Calibri" w:hAnsi="Calibri"/>
          <w:sz w:val="24"/>
          <w:szCs w:val="24"/>
        </w:rPr>
        <w:t xml:space="preserve"> June 30, 201</w:t>
      </w:r>
      <w:r w:rsidR="00413B79">
        <w:rPr>
          <w:rFonts w:ascii="Calibri" w:hAnsi="Calibri"/>
          <w:sz w:val="24"/>
          <w:szCs w:val="24"/>
        </w:rPr>
        <w:t>9</w:t>
      </w:r>
    </w:p>
    <w:p w14:paraId="4DF8CD39" w14:textId="77777777" w:rsidR="0006430D" w:rsidRDefault="0006430D" w:rsidP="0006430D">
      <w:pPr>
        <w:pStyle w:val="NoSpacing"/>
        <w:ind w:left="3600" w:hanging="2880"/>
        <w:rPr>
          <w:rFonts w:ascii="Calibri" w:hAnsi="Calibri"/>
          <w:sz w:val="24"/>
          <w:szCs w:val="24"/>
        </w:rPr>
      </w:pPr>
      <w:r>
        <w:rPr>
          <w:rFonts w:ascii="Calibri" w:hAnsi="Calibri"/>
          <w:sz w:val="24"/>
          <w:szCs w:val="24"/>
        </w:rPr>
        <w:t>Demographic Assumptions:</w:t>
      </w:r>
      <w:r>
        <w:rPr>
          <w:rFonts w:ascii="Calibri" w:hAnsi="Calibri"/>
          <w:sz w:val="24"/>
          <w:szCs w:val="24"/>
        </w:rPr>
        <w:tab/>
        <w:t>Based on the experience study performed for the South Carolina Retirement Systems for the 5-year period ending June 30, 2015</w:t>
      </w:r>
    </w:p>
    <w:p w14:paraId="5CE5D23B" w14:textId="77777777" w:rsidR="00AB219E" w:rsidRDefault="00AB219E" w:rsidP="0006430D">
      <w:pPr>
        <w:pStyle w:val="NoSpacing"/>
        <w:ind w:left="3600" w:hanging="2880"/>
        <w:rPr>
          <w:rFonts w:ascii="Calibri" w:hAnsi="Calibri"/>
          <w:sz w:val="24"/>
          <w:szCs w:val="24"/>
        </w:rPr>
      </w:pPr>
      <w:r>
        <w:rPr>
          <w:rFonts w:ascii="Calibri" w:hAnsi="Calibri"/>
          <w:sz w:val="24"/>
          <w:szCs w:val="24"/>
        </w:rPr>
        <w:t>Mortality:</w:t>
      </w:r>
      <w:r>
        <w:rPr>
          <w:rFonts w:ascii="Calibri" w:hAnsi="Calibri"/>
          <w:sz w:val="24"/>
          <w:szCs w:val="24"/>
        </w:rPr>
        <w:tab/>
      </w:r>
      <w:r w:rsidRPr="00AB219E">
        <w:rPr>
          <w:sz w:val="24"/>
          <w:szCs w:val="24"/>
        </w:rPr>
        <w:t>For healthy retirees, the 2016 Public Retirees of South Carolina Mortality Table for Males and the 2016 Public Retirees of South Carolina Mortality Table for Females are used with fully generational mortality projections based on Scale AA from the year 2016. Multipliers are applied to the base tables based on gender and employment type.</w:t>
      </w:r>
    </w:p>
    <w:p w14:paraId="77BF090E" w14:textId="77777777" w:rsidR="0006430D" w:rsidRDefault="0006430D" w:rsidP="0006430D">
      <w:pPr>
        <w:pStyle w:val="NoSpacing"/>
        <w:ind w:left="3600" w:hanging="2880"/>
        <w:rPr>
          <w:rFonts w:ascii="Calibri" w:hAnsi="Calibri"/>
          <w:sz w:val="24"/>
          <w:szCs w:val="24"/>
        </w:rPr>
      </w:pPr>
      <w:r>
        <w:rPr>
          <w:rFonts w:ascii="Calibri" w:hAnsi="Calibri"/>
          <w:sz w:val="24"/>
          <w:szCs w:val="24"/>
        </w:rPr>
        <w:t>Health Care Trend Rate</w:t>
      </w:r>
      <w:r w:rsidR="009C4CCA">
        <w:rPr>
          <w:rFonts w:ascii="Calibri" w:hAnsi="Calibri"/>
          <w:sz w:val="24"/>
          <w:szCs w:val="24"/>
        </w:rPr>
        <w:t>:</w:t>
      </w:r>
      <w:r w:rsidR="009C4CCA">
        <w:rPr>
          <w:rFonts w:ascii="Calibri" w:hAnsi="Calibri"/>
          <w:sz w:val="24"/>
          <w:szCs w:val="24"/>
        </w:rPr>
        <w:tab/>
        <w:t>Initial trend starting at 6.</w:t>
      </w:r>
      <w:r w:rsidR="00413B79">
        <w:rPr>
          <w:rFonts w:ascii="Calibri" w:hAnsi="Calibri"/>
          <w:sz w:val="24"/>
          <w:szCs w:val="24"/>
        </w:rPr>
        <w:t>40</w:t>
      </w:r>
      <w:r>
        <w:rPr>
          <w:rFonts w:ascii="Calibri" w:hAnsi="Calibri"/>
          <w:sz w:val="24"/>
          <w:szCs w:val="24"/>
        </w:rPr>
        <w:t>% and gradually decreasing to an ultimate trend rate of 4.15% over a period of 1</w:t>
      </w:r>
      <w:r w:rsidR="009C4CCA">
        <w:rPr>
          <w:rFonts w:ascii="Calibri" w:hAnsi="Calibri"/>
          <w:sz w:val="24"/>
          <w:szCs w:val="24"/>
        </w:rPr>
        <w:t>4</w:t>
      </w:r>
      <w:r>
        <w:rPr>
          <w:rFonts w:ascii="Calibri" w:hAnsi="Calibri"/>
          <w:sz w:val="24"/>
          <w:szCs w:val="24"/>
        </w:rPr>
        <w:t xml:space="preserve"> years</w:t>
      </w:r>
    </w:p>
    <w:p w14:paraId="76CB664D" w14:textId="77777777" w:rsidR="00AB219E" w:rsidRDefault="00AB219E" w:rsidP="0006430D">
      <w:pPr>
        <w:pStyle w:val="NoSpacing"/>
        <w:ind w:left="720"/>
        <w:rPr>
          <w:rFonts w:ascii="Calibri" w:hAnsi="Calibri"/>
          <w:sz w:val="24"/>
          <w:szCs w:val="24"/>
        </w:rPr>
      </w:pPr>
      <w:r>
        <w:rPr>
          <w:rFonts w:ascii="Calibri" w:hAnsi="Calibri"/>
          <w:sz w:val="24"/>
          <w:szCs w:val="24"/>
        </w:rPr>
        <w:t>Retiree Participation:</w:t>
      </w:r>
      <w:r>
        <w:rPr>
          <w:rFonts w:ascii="Calibri" w:hAnsi="Calibri"/>
          <w:sz w:val="24"/>
          <w:szCs w:val="24"/>
        </w:rPr>
        <w:tab/>
      </w:r>
      <w:r>
        <w:rPr>
          <w:rFonts w:ascii="Calibri" w:hAnsi="Calibri"/>
          <w:sz w:val="24"/>
          <w:szCs w:val="24"/>
        </w:rPr>
        <w:tab/>
        <w:t>79% for retirees who are eligible for funded premiums</w:t>
      </w:r>
    </w:p>
    <w:p w14:paraId="7420A0DD" w14:textId="77777777" w:rsidR="009C4CCA" w:rsidRDefault="009C4CCA" w:rsidP="0006430D">
      <w:pPr>
        <w:pStyle w:val="NoSpacing"/>
        <w:ind w:left="720"/>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59% participation for retirees who are eligible for Partial </w:t>
      </w:r>
    </w:p>
    <w:p w14:paraId="22C83918" w14:textId="77777777" w:rsidR="009C4CCA" w:rsidRDefault="009C4CCA" w:rsidP="009C4CCA">
      <w:pPr>
        <w:pStyle w:val="NoSpacing"/>
        <w:ind w:left="2880" w:firstLine="720"/>
        <w:rPr>
          <w:rFonts w:ascii="Calibri" w:hAnsi="Calibri"/>
          <w:sz w:val="24"/>
          <w:szCs w:val="24"/>
        </w:rPr>
      </w:pPr>
      <w:r>
        <w:rPr>
          <w:rFonts w:ascii="Calibri" w:hAnsi="Calibri"/>
          <w:sz w:val="24"/>
          <w:szCs w:val="24"/>
        </w:rPr>
        <w:t>Funded Premiums</w:t>
      </w:r>
    </w:p>
    <w:p w14:paraId="76431C77" w14:textId="77777777" w:rsidR="009C4CCA" w:rsidRDefault="009C4CCA" w:rsidP="009C4CCA">
      <w:pPr>
        <w:pStyle w:val="NoSpacing"/>
        <w:ind w:left="2880" w:firstLine="720"/>
        <w:rPr>
          <w:rFonts w:ascii="Calibri" w:hAnsi="Calibri"/>
          <w:sz w:val="24"/>
          <w:szCs w:val="24"/>
        </w:rPr>
      </w:pPr>
      <w:r>
        <w:rPr>
          <w:rFonts w:ascii="Calibri" w:hAnsi="Calibri"/>
          <w:sz w:val="24"/>
          <w:szCs w:val="24"/>
        </w:rPr>
        <w:t>20% participation for retirees who are eligible for Non-</w:t>
      </w:r>
    </w:p>
    <w:p w14:paraId="07A7FDC4" w14:textId="77777777" w:rsidR="009C4CCA" w:rsidRDefault="009C4CCA" w:rsidP="009C4CCA">
      <w:pPr>
        <w:pStyle w:val="NoSpacing"/>
        <w:ind w:left="3600"/>
        <w:rPr>
          <w:rFonts w:ascii="Calibri" w:hAnsi="Calibri"/>
          <w:sz w:val="24"/>
          <w:szCs w:val="24"/>
        </w:rPr>
      </w:pPr>
      <w:r>
        <w:rPr>
          <w:rFonts w:ascii="Calibri" w:hAnsi="Calibri"/>
          <w:sz w:val="24"/>
          <w:szCs w:val="24"/>
        </w:rPr>
        <w:t>Funded Premiums</w:t>
      </w:r>
    </w:p>
    <w:p w14:paraId="52BEF77B" w14:textId="77777777" w:rsidR="0006430D" w:rsidRDefault="0006430D" w:rsidP="0006430D">
      <w:pPr>
        <w:pStyle w:val="NoSpacing"/>
        <w:ind w:left="720"/>
        <w:rPr>
          <w:rFonts w:ascii="Calibri" w:hAnsi="Calibri"/>
          <w:sz w:val="24"/>
          <w:szCs w:val="24"/>
        </w:rPr>
      </w:pPr>
      <w:r>
        <w:rPr>
          <w:rFonts w:ascii="Calibri" w:hAnsi="Calibri"/>
          <w:sz w:val="24"/>
          <w:szCs w:val="24"/>
        </w:rPr>
        <w:t>Notes: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There were no benefit changes during the </w:t>
      </w:r>
      <w:r w:rsidR="009C4CCA">
        <w:rPr>
          <w:rFonts w:ascii="Calibri" w:hAnsi="Calibri"/>
          <w:sz w:val="24"/>
          <w:szCs w:val="24"/>
        </w:rPr>
        <w:t xml:space="preserve">current </w:t>
      </w:r>
      <w:r>
        <w:rPr>
          <w:rFonts w:ascii="Calibri" w:hAnsi="Calibri"/>
          <w:sz w:val="24"/>
          <w:szCs w:val="24"/>
        </w:rPr>
        <w:t>year</w:t>
      </w:r>
      <w:r w:rsidR="00AB219E">
        <w:rPr>
          <w:rFonts w:ascii="Calibri" w:hAnsi="Calibri"/>
          <w:sz w:val="24"/>
          <w:szCs w:val="24"/>
        </w:rPr>
        <w:t>;</w:t>
      </w:r>
    </w:p>
    <w:p w14:paraId="03291B21" w14:textId="77777777" w:rsidR="0059318D" w:rsidRPr="0059318D" w:rsidRDefault="00AB219E" w:rsidP="0006430D">
      <w:pPr>
        <w:pStyle w:val="NoSpacing"/>
        <w:ind w:left="3600"/>
        <w:rPr>
          <w:rFonts w:ascii="Calibri" w:hAnsi="Calibri"/>
          <w:sz w:val="24"/>
          <w:szCs w:val="24"/>
        </w:rPr>
      </w:pPr>
      <w:r>
        <w:rPr>
          <w:rFonts w:ascii="Calibri" w:hAnsi="Calibri"/>
          <w:sz w:val="24"/>
          <w:szCs w:val="24"/>
        </w:rPr>
        <w:t>t</w:t>
      </w:r>
      <w:r w:rsidR="0006430D">
        <w:rPr>
          <w:rFonts w:ascii="Calibri" w:hAnsi="Calibri"/>
          <w:sz w:val="24"/>
          <w:szCs w:val="24"/>
        </w:rPr>
        <w:t>he</w:t>
      </w:r>
      <w:r w:rsidR="009C4CCA">
        <w:rPr>
          <w:rFonts w:ascii="Calibri" w:hAnsi="Calibri"/>
          <w:sz w:val="24"/>
          <w:szCs w:val="24"/>
        </w:rPr>
        <w:t xml:space="preserve"> discount rate changed from 3.</w:t>
      </w:r>
      <w:r w:rsidR="00413B79">
        <w:rPr>
          <w:rFonts w:ascii="Calibri" w:hAnsi="Calibri"/>
          <w:sz w:val="24"/>
          <w:szCs w:val="24"/>
        </w:rPr>
        <w:t>62</w:t>
      </w:r>
      <w:r w:rsidR="009C4CCA">
        <w:rPr>
          <w:rFonts w:ascii="Calibri" w:hAnsi="Calibri"/>
          <w:sz w:val="24"/>
          <w:szCs w:val="24"/>
        </w:rPr>
        <w:t>% as of June 30, 201</w:t>
      </w:r>
      <w:r w:rsidR="00413B79">
        <w:rPr>
          <w:rFonts w:ascii="Calibri" w:hAnsi="Calibri"/>
          <w:sz w:val="24"/>
          <w:szCs w:val="24"/>
        </w:rPr>
        <w:t>8</w:t>
      </w:r>
      <w:r w:rsidR="009C4CCA">
        <w:rPr>
          <w:rFonts w:ascii="Calibri" w:hAnsi="Calibri"/>
          <w:sz w:val="24"/>
          <w:szCs w:val="24"/>
        </w:rPr>
        <w:t xml:space="preserve"> to 3.</w:t>
      </w:r>
      <w:r w:rsidR="00413B79">
        <w:rPr>
          <w:rFonts w:ascii="Calibri" w:hAnsi="Calibri"/>
          <w:sz w:val="24"/>
          <w:szCs w:val="24"/>
        </w:rPr>
        <w:t>13</w:t>
      </w:r>
      <w:r w:rsidR="009C4CCA">
        <w:rPr>
          <w:rFonts w:ascii="Calibri" w:hAnsi="Calibri"/>
          <w:sz w:val="24"/>
          <w:szCs w:val="24"/>
        </w:rPr>
        <w:t>% as of June 30, 201</w:t>
      </w:r>
      <w:r w:rsidR="00413B79">
        <w:rPr>
          <w:rFonts w:ascii="Calibri" w:hAnsi="Calibri"/>
          <w:sz w:val="24"/>
          <w:szCs w:val="24"/>
        </w:rPr>
        <w:t>9; minor updates were made to the healthcare trend rate assumption</w:t>
      </w:r>
    </w:p>
    <w:p w14:paraId="5B02749D" w14:textId="77777777" w:rsidR="00CD07E8" w:rsidRDefault="00CD07E8" w:rsidP="00CD07E8">
      <w:pPr>
        <w:spacing w:after="0"/>
        <w:jc w:val="both"/>
        <w:rPr>
          <w:sz w:val="24"/>
          <w:szCs w:val="24"/>
        </w:rPr>
      </w:pPr>
    </w:p>
    <w:p w14:paraId="08408AA6" w14:textId="77777777" w:rsidR="00AB219E" w:rsidRDefault="00AB219E">
      <w:pPr>
        <w:rPr>
          <w:rFonts w:ascii="Calibri" w:hAnsi="Calibri"/>
          <w:sz w:val="24"/>
          <w:szCs w:val="24"/>
        </w:rPr>
      </w:pPr>
      <w:r>
        <w:rPr>
          <w:rFonts w:ascii="Calibri" w:hAnsi="Calibri"/>
          <w:sz w:val="24"/>
          <w:szCs w:val="24"/>
        </w:rPr>
        <w:br w:type="page"/>
      </w:r>
    </w:p>
    <w:p w14:paraId="2F13C418" w14:textId="77777777" w:rsidR="0006430D" w:rsidRDefault="0006430D" w:rsidP="0006430D">
      <w:pPr>
        <w:pStyle w:val="NoSpacing"/>
        <w:rPr>
          <w:rFonts w:ascii="Calibri" w:hAnsi="Calibri"/>
          <w:sz w:val="24"/>
          <w:szCs w:val="24"/>
        </w:rPr>
      </w:pPr>
      <w:r>
        <w:rPr>
          <w:rFonts w:ascii="Calibri" w:hAnsi="Calibri"/>
          <w:sz w:val="24"/>
          <w:szCs w:val="24"/>
        </w:rPr>
        <w:lastRenderedPageBreak/>
        <w:t>Additional information as of the latest actuarial valuation for SCLTDITF:</w:t>
      </w:r>
    </w:p>
    <w:p w14:paraId="245692A1" w14:textId="77777777" w:rsidR="0006430D" w:rsidRPr="006F4727" w:rsidRDefault="0006430D" w:rsidP="0006430D">
      <w:pPr>
        <w:pStyle w:val="NoSpacing"/>
        <w:ind w:left="720"/>
        <w:rPr>
          <w:rFonts w:ascii="Calibri" w:hAnsi="Calibri"/>
          <w:sz w:val="12"/>
          <w:szCs w:val="12"/>
        </w:rPr>
      </w:pPr>
    </w:p>
    <w:p w14:paraId="2843F006" w14:textId="77777777" w:rsidR="0006430D" w:rsidRDefault="0006430D" w:rsidP="0006430D">
      <w:pPr>
        <w:pStyle w:val="NoSpacing"/>
        <w:ind w:left="720"/>
        <w:rPr>
          <w:rFonts w:ascii="Calibri" w:hAnsi="Calibri"/>
          <w:sz w:val="24"/>
          <w:szCs w:val="24"/>
        </w:rPr>
      </w:pPr>
      <w:r>
        <w:rPr>
          <w:rFonts w:ascii="Calibri" w:hAnsi="Calibri"/>
          <w:sz w:val="24"/>
          <w:szCs w:val="24"/>
        </w:rPr>
        <w:t>Valuation Date:</w:t>
      </w:r>
      <w:r>
        <w:rPr>
          <w:rFonts w:ascii="Calibri" w:hAnsi="Calibri"/>
          <w:sz w:val="24"/>
          <w:szCs w:val="24"/>
        </w:rPr>
        <w:tab/>
      </w:r>
      <w:r>
        <w:rPr>
          <w:rFonts w:ascii="Calibri" w:hAnsi="Calibri"/>
          <w:sz w:val="24"/>
          <w:szCs w:val="24"/>
        </w:rPr>
        <w:tab/>
      </w:r>
      <w:r w:rsidR="004D6FEC">
        <w:rPr>
          <w:rFonts w:ascii="Calibri" w:hAnsi="Calibri"/>
          <w:sz w:val="24"/>
          <w:szCs w:val="24"/>
        </w:rPr>
        <w:t>June 30, 201</w:t>
      </w:r>
      <w:r w:rsidR="00413B79">
        <w:rPr>
          <w:rFonts w:ascii="Calibri" w:hAnsi="Calibri"/>
          <w:sz w:val="24"/>
          <w:szCs w:val="24"/>
        </w:rPr>
        <w:t>8</w:t>
      </w:r>
    </w:p>
    <w:p w14:paraId="515BDF3C" w14:textId="77777777" w:rsidR="0006430D" w:rsidRDefault="0006430D" w:rsidP="0006430D">
      <w:pPr>
        <w:pStyle w:val="NoSpacing"/>
        <w:ind w:left="720"/>
        <w:rPr>
          <w:rFonts w:ascii="Calibri" w:hAnsi="Calibri"/>
          <w:sz w:val="24"/>
          <w:szCs w:val="24"/>
        </w:rPr>
      </w:pPr>
      <w:r>
        <w:rPr>
          <w:rFonts w:ascii="Calibri" w:hAnsi="Calibri"/>
          <w:sz w:val="24"/>
          <w:szCs w:val="24"/>
        </w:rPr>
        <w:t>Actuarial Cost Method:</w:t>
      </w:r>
      <w:r>
        <w:rPr>
          <w:rFonts w:ascii="Calibri" w:hAnsi="Calibri"/>
          <w:sz w:val="24"/>
          <w:szCs w:val="24"/>
        </w:rPr>
        <w:tab/>
        <w:t>Entry Age Normal</w:t>
      </w:r>
    </w:p>
    <w:p w14:paraId="4C8FDE75" w14:textId="77777777" w:rsidR="0006430D" w:rsidRDefault="0006430D" w:rsidP="0006430D">
      <w:pPr>
        <w:pStyle w:val="NoSpacing"/>
        <w:ind w:left="720"/>
        <w:rPr>
          <w:rFonts w:ascii="Calibri" w:hAnsi="Calibri"/>
          <w:sz w:val="24"/>
          <w:szCs w:val="24"/>
        </w:rPr>
      </w:pPr>
      <w:r>
        <w:rPr>
          <w:rFonts w:ascii="Calibri" w:hAnsi="Calibri"/>
          <w:sz w:val="24"/>
          <w:szCs w:val="24"/>
        </w:rPr>
        <w:t>Inflation:</w:t>
      </w:r>
      <w:r>
        <w:rPr>
          <w:rFonts w:ascii="Calibri" w:hAnsi="Calibri"/>
          <w:sz w:val="24"/>
          <w:szCs w:val="24"/>
        </w:rPr>
        <w:tab/>
      </w:r>
      <w:r>
        <w:rPr>
          <w:rFonts w:ascii="Calibri" w:hAnsi="Calibri"/>
          <w:sz w:val="24"/>
          <w:szCs w:val="24"/>
        </w:rPr>
        <w:tab/>
      </w:r>
      <w:r>
        <w:rPr>
          <w:rFonts w:ascii="Calibri" w:hAnsi="Calibri"/>
          <w:sz w:val="24"/>
          <w:szCs w:val="24"/>
        </w:rPr>
        <w:tab/>
        <w:t>2.25%</w:t>
      </w:r>
    </w:p>
    <w:p w14:paraId="46560A4A" w14:textId="77777777" w:rsidR="0006430D" w:rsidRDefault="0006430D" w:rsidP="0006430D">
      <w:pPr>
        <w:pStyle w:val="NoSpacing"/>
        <w:ind w:left="720"/>
        <w:rPr>
          <w:rFonts w:ascii="Calibri" w:hAnsi="Calibri"/>
          <w:sz w:val="24"/>
          <w:szCs w:val="24"/>
        </w:rPr>
      </w:pPr>
      <w:r>
        <w:rPr>
          <w:rFonts w:ascii="Calibri" w:hAnsi="Calibri"/>
          <w:sz w:val="24"/>
          <w:szCs w:val="24"/>
        </w:rPr>
        <w:t>Investment Rate of Return:</w:t>
      </w:r>
      <w:r>
        <w:rPr>
          <w:rFonts w:ascii="Calibri" w:hAnsi="Calibri"/>
          <w:sz w:val="24"/>
          <w:szCs w:val="24"/>
        </w:rPr>
        <w:tab/>
      </w:r>
      <w:r w:rsidR="00413B79">
        <w:rPr>
          <w:rFonts w:ascii="Calibri" w:hAnsi="Calibri"/>
          <w:sz w:val="24"/>
          <w:szCs w:val="24"/>
        </w:rPr>
        <w:t>3</w:t>
      </w:r>
      <w:r>
        <w:rPr>
          <w:rFonts w:ascii="Calibri" w:hAnsi="Calibri"/>
          <w:sz w:val="24"/>
          <w:szCs w:val="24"/>
        </w:rPr>
        <w:t>.00</w:t>
      </w:r>
      <w:r w:rsidR="004D6FEC">
        <w:rPr>
          <w:rFonts w:ascii="Calibri" w:hAnsi="Calibri"/>
          <w:sz w:val="24"/>
          <w:szCs w:val="24"/>
        </w:rPr>
        <w:t>%</w:t>
      </w:r>
      <w:r>
        <w:rPr>
          <w:rFonts w:ascii="Calibri" w:hAnsi="Calibri"/>
          <w:sz w:val="24"/>
          <w:szCs w:val="24"/>
        </w:rPr>
        <w:t>, net of Plan investment expense; including inflation</w:t>
      </w:r>
    </w:p>
    <w:p w14:paraId="6DD5A647" w14:textId="77777777" w:rsidR="0006430D" w:rsidRDefault="004D6FEC" w:rsidP="0006430D">
      <w:pPr>
        <w:pStyle w:val="NoSpacing"/>
        <w:ind w:left="720"/>
        <w:rPr>
          <w:rFonts w:ascii="Calibri" w:hAnsi="Calibri"/>
          <w:sz w:val="24"/>
          <w:szCs w:val="24"/>
        </w:rPr>
      </w:pPr>
      <w:r>
        <w:rPr>
          <w:rFonts w:ascii="Calibri" w:hAnsi="Calibri"/>
          <w:sz w:val="24"/>
          <w:szCs w:val="24"/>
        </w:rPr>
        <w:t>Single Discount Rate:</w:t>
      </w:r>
      <w:r>
        <w:rPr>
          <w:rFonts w:ascii="Calibri" w:hAnsi="Calibri"/>
          <w:sz w:val="24"/>
          <w:szCs w:val="24"/>
        </w:rPr>
        <w:tab/>
      </w:r>
      <w:r>
        <w:rPr>
          <w:rFonts w:ascii="Calibri" w:hAnsi="Calibri"/>
          <w:sz w:val="24"/>
          <w:szCs w:val="24"/>
        </w:rPr>
        <w:tab/>
        <w:t>3.</w:t>
      </w:r>
      <w:r w:rsidR="00413B79">
        <w:rPr>
          <w:rFonts w:ascii="Calibri" w:hAnsi="Calibri"/>
          <w:sz w:val="24"/>
          <w:szCs w:val="24"/>
        </w:rPr>
        <w:t>04</w:t>
      </w:r>
      <w:r>
        <w:rPr>
          <w:rFonts w:ascii="Calibri" w:hAnsi="Calibri"/>
          <w:sz w:val="24"/>
          <w:szCs w:val="24"/>
        </w:rPr>
        <w:t>% as of June 30, 201</w:t>
      </w:r>
      <w:r w:rsidR="00413B79">
        <w:rPr>
          <w:rFonts w:ascii="Calibri" w:hAnsi="Calibri"/>
          <w:sz w:val="24"/>
          <w:szCs w:val="24"/>
        </w:rPr>
        <w:t>9</w:t>
      </w:r>
    </w:p>
    <w:p w14:paraId="3858D320" w14:textId="77777777" w:rsidR="00AE484C" w:rsidRDefault="0006430D" w:rsidP="0006430D">
      <w:pPr>
        <w:pStyle w:val="NoSpacing"/>
        <w:ind w:left="3600" w:hanging="2880"/>
        <w:rPr>
          <w:rFonts w:ascii="Calibri" w:hAnsi="Calibri"/>
          <w:sz w:val="24"/>
          <w:szCs w:val="24"/>
        </w:rPr>
      </w:pPr>
      <w:r>
        <w:rPr>
          <w:rFonts w:ascii="Calibri" w:hAnsi="Calibri"/>
          <w:sz w:val="24"/>
          <w:szCs w:val="24"/>
        </w:rPr>
        <w:t>Salary, Termination, and</w:t>
      </w:r>
      <w:r w:rsidR="00AE484C">
        <w:rPr>
          <w:rFonts w:ascii="Calibri" w:hAnsi="Calibri"/>
          <w:sz w:val="24"/>
          <w:szCs w:val="24"/>
        </w:rPr>
        <w:t xml:space="preserve"> </w:t>
      </w:r>
      <w:r>
        <w:rPr>
          <w:rFonts w:ascii="Calibri" w:hAnsi="Calibri"/>
          <w:sz w:val="24"/>
          <w:szCs w:val="24"/>
        </w:rPr>
        <w:tab/>
        <w:t>Based on the experience study performed for the South</w:t>
      </w:r>
    </w:p>
    <w:p w14:paraId="42A84AAA" w14:textId="77777777" w:rsidR="0006430D" w:rsidRDefault="00AE484C" w:rsidP="0006430D">
      <w:pPr>
        <w:pStyle w:val="NoSpacing"/>
        <w:ind w:left="3600" w:hanging="2880"/>
        <w:rPr>
          <w:rFonts w:ascii="Calibri" w:hAnsi="Calibri"/>
          <w:sz w:val="24"/>
          <w:szCs w:val="24"/>
        </w:rPr>
      </w:pPr>
      <w:r>
        <w:rPr>
          <w:rFonts w:ascii="Calibri" w:hAnsi="Calibri"/>
          <w:sz w:val="24"/>
          <w:szCs w:val="24"/>
        </w:rPr>
        <w:t>Retirement Rates:</w:t>
      </w:r>
      <w:r>
        <w:rPr>
          <w:rFonts w:ascii="Calibri" w:hAnsi="Calibri"/>
          <w:sz w:val="24"/>
          <w:szCs w:val="24"/>
        </w:rPr>
        <w:tab/>
      </w:r>
      <w:r w:rsidR="0006430D">
        <w:rPr>
          <w:rFonts w:ascii="Calibri" w:hAnsi="Calibri"/>
          <w:sz w:val="24"/>
          <w:szCs w:val="24"/>
        </w:rPr>
        <w:t>Carolina Retirement</w:t>
      </w:r>
      <w:r>
        <w:rPr>
          <w:rFonts w:ascii="Calibri" w:hAnsi="Calibri"/>
          <w:sz w:val="24"/>
          <w:szCs w:val="24"/>
        </w:rPr>
        <w:t xml:space="preserve"> S</w:t>
      </w:r>
      <w:r w:rsidR="0006430D">
        <w:rPr>
          <w:rFonts w:ascii="Calibri" w:hAnsi="Calibri"/>
          <w:sz w:val="24"/>
          <w:szCs w:val="24"/>
        </w:rPr>
        <w:t>ystems for the 5-year period ending June 30, 2015</w:t>
      </w:r>
    </w:p>
    <w:p w14:paraId="4D454601" w14:textId="77777777" w:rsidR="0006430D" w:rsidRDefault="0006430D" w:rsidP="0006430D">
      <w:pPr>
        <w:pStyle w:val="NoSpacing"/>
        <w:ind w:left="3600" w:hanging="2880"/>
        <w:rPr>
          <w:rFonts w:ascii="Calibri" w:hAnsi="Calibri"/>
          <w:sz w:val="24"/>
          <w:szCs w:val="24"/>
        </w:rPr>
      </w:pPr>
      <w:r>
        <w:rPr>
          <w:rFonts w:ascii="Calibri" w:hAnsi="Calibri"/>
          <w:sz w:val="24"/>
          <w:szCs w:val="24"/>
        </w:rPr>
        <w:t>Disability Incidence:</w:t>
      </w:r>
      <w:r>
        <w:rPr>
          <w:rFonts w:ascii="Calibri" w:hAnsi="Calibri"/>
          <w:sz w:val="24"/>
          <w:szCs w:val="24"/>
        </w:rPr>
        <w:tab/>
        <w:t>The rates used in the valuation are based on the rates developed for the South Carolina Retirement Systems pension plans</w:t>
      </w:r>
    </w:p>
    <w:p w14:paraId="759B83EE" w14:textId="77777777" w:rsidR="0006430D" w:rsidRDefault="0006430D" w:rsidP="0006430D">
      <w:pPr>
        <w:pStyle w:val="NoSpacing"/>
        <w:ind w:left="3600" w:hanging="2880"/>
        <w:rPr>
          <w:rFonts w:ascii="Calibri" w:hAnsi="Calibri"/>
          <w:sz w:val="24"/>
          <w:szCs w:val="24"/>
        </w:rPr>
      </w:pPr>
      <w:r>
        <w:rPr>
          <w:rFonts w:ascii="Calibri" w:hAnsi="Calibri"/>
          <w:sz w:val="24"/>
          <w:szCs w:val="24"/>
        </w:rPr>
        <w:t>Disability Recovery:</w:t>
      </w:r>
      <w:r>
        <w:rPr>
          <w:rFonts w:ascii="Calibri" w:hAnsi="Calibri"/>
          <w:sz w:val="24"/>
          <w:szCs w:val="24"/>
        </w:rPr>
        <w:tab/>
        <w:t>For participants in payment, 1987 CGDT Group Disability; for active employees, 60% were assumed to recover after the first year and 92% were assumed to recover after the first two years</w:t>
      </w:r>
    </w:p>
    <w:p w14:paraId="6A212D0E" w14:textId="77777777" w:rsidR="0078434C" w:rsidRDefault="0006430D" w:rsidP="0078434C">
      <w:pPr>
        <w:pStyle w:val="NoSpacing"/>
        <w:ind w:left="3600" w:hanging="2880"/>
        <w:rPr>
          <w:rFonts w:ascii="Calibri" w:hAnsi="Calibri"/>
          <w:sz w:val="24"/>
          <w:szCs w:val="24"/>
        </w:rPr>
      </w:pPr>
      <w:r>
        <w:rPr>
          <w:rFonts w:ascii="Calibri" w:hAnsi="Calibri"/>
          <w:sz w:val="24"/>
          <w:szCs w:val="24"/>
        </w:rPr>
        <w:t>Offsets:</w:t>
      </w:r>
      <w:r>
        <w:rPr>
          <w:rFonts w:ascii="Calibri" w:hAnsi="Calibri"/>
          <w:sz w:val="24"/>
          <w:szCs w:val="24"/>
        </w:rPr>
        <w:tab/>
        <w:t>40% are assumed to be eligible for Social Security benefits; assumed percentage who will be eligible for a pension plan offset varies based on employee group</w:t>
      </w:r>
    </w:p>
    <w:p w14:paraId="15CA6BFF" w14:textId="77777777" w:rsidR="004D6FEC" w:rsidRDefault="004D6FEC" w:rsidP="0006430D">
      <w:pPr>
        <w:pStyle w:val="NoSpacing"/>
        <w:ind w:left="720"/>
        <w:rPr>
          <w:rFonts w:ascii="Calibri" w:hAnsi="Calibri"/>
          <w:sz w:val="24"/>
          <w:szCs w:val="24"/>
        </w:rPr>
      </w:pPr>
      <w:r>
        <w:rPr>
          <w:rFonts w:ascii="Calibri" w:hAnsi="Calibri"/>
          <w:sz w:val="24"/>
          <w:szCs w:val="24"/>
        </w:rPr>
        <w:t>Expenses:</w:t>
      </w:r>
      <w:r>
        <w:rPr>
          <w:rFonts w:ascii="Calibri" w:hAnsi="Calibri"/>
          <w:sz w:val="24"/>
          <w:szCs w:val="24"/>
        </w:rPr>
        <w:tab/>
      </w:r>
      <w:r>
        <w:rPr>
          <w:rFonts w:ascii="Calibri" w:hAnsi="Calibri"/>
          <w:sz w:val="24"/>
          <w:szCs w:val="24"/>
        </w:rPr>
        <w:tab/>
      </w:r>
      <w:r>
        <w:rPr>
          <w:rFonts w:ascii="Calibri" w:hAnsi="Calibri"/>
          <w:sz w:val="24"/>
          <w:szCs w:val="24"/>
        </w:rPr>
        <w:tab/>
        <w:t xml:space="preserve">Third party administrative expenses were included in the </w:t>
      </w:r>
    </w:p>
    <w:p w14:paraId="119DDD6C" w14:textId="77777777" w:rsidR="004D6FEC" w:rsidRDefault="004D6FEC" w:rsidP="004D6FEC">
      <w:pPr>
        <w:pStyle w:val="NoSpacing"/>
        <w:ind w:left="2880" w:firstLine="720"/>
        <w:rPr>
          <w:rFonts w:ascii="Calibri" w:hAnsi="Calibri"/>
          <w:sz w:val="24"/>
          <w:szCs w:val="24"/>
        </w:rPr>
      </w:pPr>
      <w:r>
        <w:rPr>
          <w:rFonts w:ascii="Calibri" w:hAnsi="Calibri"/>
          <w:sz w:val="24"/>
          <w:szCs w:val="24"/>
        </w:rPr>
        <w:t>benefit projections</w:t>
      </w:r>
    </w:p>
    <w:p w14:paraId="70442C28" w14:textId="77777777" w:rsidR="004D6FEC" w:rsidRDefault="0006430D" w:rsidP="004D6FEC">
      <w:pPr>
        <w:pStyle w:val="NoSpacing"/>
        <w:ind w:left="720"/>
        <w:rPr>
          <w:rFonts w:ascii="Calibri" w:hAnsi="Calibri"/>
          <w:sz w:val="24"/>
          <w:szCs w:val="24"/>
        </w:rPr>
      </w:pPr>
      <w:r>
        <w:rPr>
          <w:rFonts w:ascii="Calibri" w:hAnsi="Calibri"/>
          <w:sz w:val="24"/>
          <w:szCs w:val="24"/>
        </w:rPr>
        <w:t>Notes: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The discount rate changed from 3.</w:t>
      </w:r>
      <w:r w:rsidR="00413B79">
        <w:rPr>
          <w:rFonts w:ascii="Calibri" w:hAnsi="Calibri"/>
          <w:sz w:val="24"/>
          <w:szCs w:val="24"/>
        </w:rPr>
        <w:t>91</w:t>
      </w:r>
      <w:r>
        <w:rPr>
          <w:rFonts w:ascii="Calibri" w:hAnsi="Calibri"/>
          <w:sz w:val="24"/>
          <w:szCs w:val="24"/>
        </w:rPr>
        <w:t>% as of June 30, 201</w:t>
      </w:r>
      <w:r w:rsidR="00413B79">
        <w:rPr>
          <w:rFonts w:ascii="Calibri" w:hAnsi="Calibri"/>
          <w:sz w:val="24"/>
          <w:szCs w:val="24"/>
        </w:rPr>
        <w:t>8</w:t>
      </w:r>
      <w:r>
        <w:rPr>
          <w:rFonts w:ascii="Calibri" w:hAnsi="Calibri"/>
          <w:sz w:val="24"/>
          <w:szCs w:val="24"/>
        </w:rPr>
        <w:t xml:space="preserve"> </w:t>
      </w:r>
    </w:p>
    <w:p w14:paraId="025EF604" w14:textId="77777777" w:rsidR="0006430D" w:rsidRDefault="0006430D" w:rsidP="004D6FEC">
      <w:pPr>
        <w:pStyle w:val="NoSpacing"/>
        <w:ind w:left="2880" w:firstLine="720"/>
        <w:rPr>
          <w:rFonts w:ascii="Calibri" w:hAnsi="Calibri"/>
          <w:sz w:val="24"/>
          <w:szCs w:val="24"/>
        </w:rPr>
      </w:pPr>
      <w:r>
        <w:rPr>
          <w:rFonts w:ascii="Calibri" w:hAnsi="Calibri"/>
          <w:sz w:val="24"/>
          <w:szCs w:val="24"/>
        </w:rPr>
        <w:t>to 3.</w:t>
      </w:r>
      <w:r w:rsidR="00413B79">
        <w:rPr>
          <w:rFonts w:ascii="Calibri" w:hAnsi="Calibri"/>
          <w:sz w:val="24"/>
          <w:szCs w:val="24"/>
        </w:rPr>
        <w:t>04</w:t>
      </w:r>
      <w:r>
        <w:rPr>
          <w:rFonts w:ascii="Calibri" w:hAnsi="Calibri"/>
          <w:sz w:val="24"/>
          <w:szCs w:val="24"/>
        </w:rPr>
        <w:t xml:space="preserve">% as of </w:t>
      </w:r>
      <w:r w:rsidR="004D6FEC">
        <w:rPr>
          <w:rFonts w:ascii="Calibri" w:hAnsi="Calibri"/>
          <w:sz w:val="24"/>
          <w:szCs w:val="24"/>
        </w:rPr>
        <w:t>June 30, 201</w:t>
      </w:r>
      <w:r w:rsidR="00413B79">
        <w:rPr>
          <w:rFonts w:ascii="Calibri" w:hAnsi="Calibri"/>
          <w:sz w:val="24"/>
          <w:szCs w:val="24"/>
        </w:rPr>
        <w:t>9</w:t>
      </w:r>
    </w:p>
    <w:p w14:paraId="1010B81F" w14:textId="77777777" w:rsidR="0006430D" w:rsidRDefault="0006430D" w:rsidP="0006430D">
      <w:pPr>
        <w:pStyle w:val="NoSpacing"/>
        <w:rPr>
          <w:rFonts w:ascii="Calibri" w:hAnsi="Calibri"/>
          <w:sz w:val="24"/>
          <w:szCs w:val="24"/>
        </w:rPr>
      </w:pPr>
    </w:p>
    <w:p w14:paraId="6C74275F" w14:textId="77777777" w:rsidR="0006430D" w:rsidRPr="0006430D" w:rsidRDefault="0006430D" w:rsidP="00CE37E3">
      <w:pPr>
        <w:pStyle w:val="NoSpacing"/>
        <w:jc w:val="both"/>
        <w:rPr>
          <w:rFonts w:ascii="Calibri" w:hAnsi="Calibri"/>
          <w:b/>
          <w:sz w:val="24"/>
          <w:szCs w:val="24"/>
          <w:u w:val="single"/>
        </w:rPr>
      </w:pPr>
      <w:r w:rsidRPr="0006430D">
        <w:rPr>
          <w:rFonts w:ascii="Calibri" w:hAnsi="Calibri"/>
          <w:b/>
          <w:sz w:val="24"/>
          <w:szCs w:val="24"/>
          <w:u w:val="single"/>
        </w:rPr>
        <w:t>Roll Forward Disclosure</w:t>
      </w:r>
      <w:r w:rsidR="00E7369C">
        <w:rPr>
          <w:rFonts w:ascii="Calibri" w:hAnsi="Calibri"/>
          <w:b/>
          <w:sz w:val="24"/>
          <w:szCs w:val="24"/>
          <w:u w:val="single"/>
        </w:rPr>
        <w:t>s</w:t>
      </w:r>
    </w:p>
    <w:p w14:paraId="3F175B80" w14:textId="37D495B9" w:rsidR="0006430D" w:rsidRDefault="00E7369C" w:rsidP="00CE37E3">
      <w:pPr>
        <w:pStyle w:val="NoSpacing"/>
        <w:jc w:val="both"/>
        <w:rPr>
          <w:rFonts w:ascii="Calibri" w:hAnsi="Calibri"/>
          <w:sz w:val="24"/>
          <w:szCs w:val="24"/>
        </w:rPr>
      </w:pPr>
      <w:r>
        <w:rPr>
          <w:rFonts w:ascii="Calibri" w:hAnsi="Calibri"/>
          <w:sz w:val="24"/>
          <w:szCs w:val="24"/>
        </w:rPr>
        <w:t>The actuarial valuation</w:t>
      </w:r>
      <w:r w:rsidR="00464BAE">
        <w:rPr>
          <w:rFonts w:ascii="Calibri" w:hAnsi="Calibri"/>
          <w:sz w:val="24"/>
          <w:szCs w:val="24"/>
        </w:rPr>
        <w:t>s</w:t>
      </w:r>
      <w:r>
        <w:rPr>
          <w:rFonts w:ascii="Calibri" w:hAnsi="Calibri"/>
          <w:sz w:val="24"/>
          <w:szCs w:val="24"/>
        </w:rPr>
        <w:t xml:space="preserve"> were</w:t>
      </w:r>
      <w:r w:rsidR="004D6FEC">
        <w:rPr>
          <w:rFonts w:ascii="Calibri" w:hAnsi="Calibri"/>
          <w:sz w:val="24"/>
          <w:szCs w:val="24"/>
        </w:rPr>
        <w:t xml:space="preserve"> performed as of June 30, 201</w:t>
      </w:r>
      <w:r w:rsidR="00413B79">
        <w:rPr>
          <w:rFonts w:ascii="Calibri" w:hAnsi="Calibri"/>
          <w:sz w:val="24"/>
          <w:szCs w:val="24"/>
        </w:rPr>
        <w:t>8</w:t>
      </w:r>
      <w:r w:rsidR="0006430D">
        <w:rPr>
          <w:rFonts w:ascii="Calibri" w:hAnsi="Calibri"/>
          <w:sz w:val="24"/>
          <w:szCs w:val="24"/>
        </w:rPr>
        <w:t>.  Update procedures were used to roll forward the total</w:t>
      </w:r>
      <w:r w:rsidR="004D6FEC">
        <w:rPr>
          <w:rFonts w:ascii="Calibri" w:hAnsi="Calibri"/>
          <w:sz w:val="24"/>
          <w:szCs w:val="24"/>
        </w:rPr>
        <w:t xml:space="preserve"> OPEB liabilit</w:t>
      </w:r>
      <w:r w:rsidR="00464BAE">
        <w:rPr>
          <w:rFonts w:ascii="Calibri" w:hAnsi="Calibri"/>
          <w:sz w:val="24"/>
          <w:szCs w:val="24"/>
        </w:rPr>
        <w:t>ies</w:t>
      </w:r>
      <w:r w:rsidR="004D6FEC">
        <w:rPr>
          <w:rFonts w:ascii="Calibri" w:hAnsi="Calibri"/>
          <w:sz w:val="24"/>
          <w:szCs w:val="24"/>
        </w:rPr>
        <w:t xml:space="preserve"> to June 30, 201</w:t>
      </w:r>
      <w:r w:rsidR="00413B79">
        <w:rPr>
          <w:rFonts w:ascii="Calibri" w:hAnsi="Calibri"/>
          <w:sz w:val="24"/>
          <w:szCs w:val="24"/>
        </w:rPr>
        <w:t>9</w:t>
      </w:r>
      <w:r w:rsidR="0006430D">
        <w:rPr>
          <w:rFonts w:ascii="Calibri" w:hAnsi="Calibri"/>
          <w:sz w:val="24"/>
          <w:szCs w:val="24"/>
        </w:rPr>
        <w:t>.</w:t>
      </w:r>
    </w:p>
    <w:p w14:paraId="7E1E1E3B" w14:textId="77777777" w:rsidR="00CE37E3" w:rsidRDefault="00CE37E3" w:rsidP="00CE37E3">
      <w:pPr>
        <w:pStyle w:val="NoSpacing"/>
        <w:jc w:val="both"/>
        <w:rPr>
          <w:rFonts w:ascii="Calibri" w:hAnsi="Calibri"/>
          <w:sz w:val="24"/>
          <w:szCs w:val="24"/>
        </w:rPr>
      </w:pPr>
    </w:p>
    <w:p w14:paraId="647AAA61" w14:textId="77777777" w:rsidR="0006430D" w:rsidRDefault="00CE37E3" w:rsidP="00CE37E3">
      <w:pPr>
        <w:pStyle w:val="NoSpacing"/>
        <w:jc w:val="both"/>
        <w:rPr>
          <w:b/>
          <w:sz w:val="24"/>
          <w:szCs w:val="24"/>
        </w:rPr>
      </w:pPr>
      <w:r>
        <w:rPr>
          <w:b/>
          <w:sz w:val="24"/>
          <w:szCs w:val="24"/>
        </w:rPr>
        <w:t>Note 3:  Net OPEB Liability</w:t>
      </w:r>
    </w:p>
    <w:p w14:paraId="50E72946" w14:textId="77777777" w:rsidR="00CE37E3" w:rsidRDefault="00CE37E3" w:rsidP="00CE37E3">
      <w:pPr>
        <w:pStyle w:val="NoSpacing"/>
        <w:jc w:val="both"/>
        <w:rPr>
          <w:sz w:val="24"/>
          <w:szCs w:val="24"/>
        </w:rPr>
      </w:pPr>
      <w:r>
        <w:rPr>
          <w:sz w:val="24"/>
          <w:szCs w:val="24"/>
        </w:rPr>
        <w:t xml:space="preserve">The Net OPEB Liability (NOL) is calculated separately for each OPEB Trust Fund and represents that </w:t>
      </w:r>
      <w:proofErr w:type="gramStart"/>
      <w:r>
        <w:rPr>
          <w:sz w:val="24"/>
          <w:szCs w:val="24"/>
        </w:rPr>
        <w:t>particular Trust’s</w:t>
      </w:r>
      <w:proofErr w:type="gramEnd"/>
      <w:r>
        <w:rPr>
          <w:sz w:val="24"/>
          <w:szCs w:val="24"/>
        </w:rPr>
        <w:t xml:space="preserve"> Total OPEB Liability (TOL) determined in accordance with GASB No. 74 less that Trust’s fiduciary net position.  </w:t>
      </w:r>
      <w:r w:rsidR="00EE3A1E">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p>
    <w:p w14:paraId="4F273AB2" w14:textId="77777777" w:rsidR="00CE37E3" w:rsidRDefault="00CE37E3" w:rsidP="00CE37E3">
      <w:pPr>
        <w:pStyle w:val="NoSpacing"/>
        <w:jc w:val="both"/>
        <w:rPr>
          <w:sz w:val="24"/>
          <w:szCs w:val="24"/>
        </w:rPr>
      </w:pPr>
    </w:p>
    <w:p w14:paraId="2F039775" w14:textId="77777777" w:rsidR="00AB219E" w:rsidRDefault="00AB219E">
      <w:pPr>
        <w:rPr>
          <w:rFonts w:ascii="Calibri" w:hAnsi="Calibri"/>
          <w:sz w:val="24"/>
          <w:szCs w:val="24"/>
        </w:rPr>
      </w:pPr>
      <w:r>
        <w:rPr>
          <w:rFonts w:ascii="Calibri" w:hAnsi="Calibri"/>
          <w:sz w:val="24"/>
          <w:szCs w:val="24"/>
        </w:rPr>
        <w:br w:type="page"/>
      </w:r>
    </w:p>
    <w:p w14:paraId="37D62059" w14:textId="6512AD59" w:rsidR="00CE37E3" w:rsidRDefault="00CE37E3" w:rsidP="00CE37E3">
      <w:pPr>
        <w:pStyle w:val="NoSpacing"/>
        <w:jc w:val="both"/>
        <w:rPr>
          <w:rFonts w:ascii="Calibri" w:hAnsi="Calibri"/>
          <w:sz w:val="24"/>
          <w:szCs w:val="24"/>
        </w:rPr>
      </w:pPr>
      <w:r>
        <w:rPr>
          <w:rFonts w:ascii="Calibri" w:hAnsi="Calibri"/>
          <w:sz w:val="24"/>
          <w:szCs w:val="24"/>
        </w:rPr>
        <w:lastRenderedPageBreak/>
        <w:t>The following table represents the components of the net OP</w:t>
      </w:r>
      <w:r w:rsidR="009A3EB1">
        <w:rPr>
          <w:rFonts w:ascii="Calibri" w:hAnsi="Calibri"/>
          <w:sz w:val="24"/>
          <w:szCs w:val="24"/>
        </w:rPr>
        <w:t>EB liability as of June 30, 201</w:t>
      </w:r>
      <w:r w:rsidR="00AE48BC">
        <w:rPr>
          <w:rFonts w:ascii="Calibri" w:hAnsi="Calibri"/>
          <w:sz w:val="24"/>
          <w:szCs w:val="24"/>
        </w:rPr>
        <w:t>9</w:t>
      </w:r>
      <w:r w:rsidR="00464BAE">
        <w:rPr>
          <w:rFonts w:ascii="Calibri" w:hAnsi="Calibri"/>
          <w:sz w:val="24"/>
          <w:szCs w:val="24"/>
        </w:rPr>
        <w:t>, 2018, and 2017</w:t>
      </w:r>
      <w:r>
        <w:rPr>
          <w:rFonts w:ascii="Calibri" w:hAnsi="Calibri"/>
          <w:sz w:val="24"/>
          <w:szCs w:val="24"/>
        </w:rPr>
        <w:t>:</w:t>
      </w:r>
    </w:p>
    <w:p w14:paraId="2CA3BCB1" w14:textId="77777777" w:rsidR="00CE37E3" w:rsidRPr="00AE48BC" w:rsidRDefault="00CE37E3" w:rsidP="00CE37E3">
      <w:pPr>
        <w:pStyle w:val="NoSpacing"/>
        <w:rPr>
          <w:rFonts w:ascii="Calibri" w:hAnsi="Calibri"/>
          <w:sz w:val="16"/>
          <w:szCs w:val="16"/>
        </w:rPr>
      </w:pPr>
    </w:p>
    <w:bookmarkStart w:id="1" w:name="_MON_1568189393"/>
    <w:bookmarkEnd w:id="1"/>
    <w:p w14:paraId="208A9B48" w14:textId="77777777" w:rsidR="00CE37E3" w:rsidRDefault="000F6E25" w:rsidP="00F60677">
      <w:pPr>
        <w:pStyle w:val="NoSpacing"/>
        <w:rPr>
          <w:rFonts w:ascii="Calibri" w:hAnsi="Calibri"/>
          <w:sz w:val="24"/>
          <w:szCs w:val="24"/>
        </w:rPr>
      </w:pPr>
      <w:r w:rsidRPr="00FF4795">
        <w:rPr>
          <w:rFonts w:ascii="Calibri" w:hAnsi="Calibri"/>
          <w:sz w:val="24"/>
          <w:szCs w:val="24"/>
        </w:rPr>
        <w:object w:dxaOrig="10392" w:dyaOrig="5666" w14:anchorId="4C3E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245.25pt" o:ole="">
            <v:imagedata r:id="rId9" o:title=""/>
          </v:shape>
          <o:OLEObject Type="Embed" ProgID="Excel.Sheet.12" ShapeID="_x0000_i1025" DrawAspect="Content" ObjectID="_1655647056" r:id="rId10"/>
        </w:object>
      </w:r>
      <w:r w:rsidR="00CE37E3">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14:paraId="0073EFDA" w14:textId="77777777" w:rsidR="00AB219E" w:rsidRPr="00464BAE" w:rsidRDefault="00AB219E" w:rsidP="00CE37E3">
      <w:pPr>
        <w:pStyle w:val="NoSpacing"/>
        <w:jc w:val="both"/>
        <w:rPr>
          <w:rFonts w:ascii="Calibri" w:hAnsi="Calibri"/>
          <w:sz w:val="12"/>
          <w:szCs w:val="12"/>
        </w:rPr>
      </w:pPr>
    </w:p>
    <w:p w14:paraId="7AC537BD" w14:textId="77777777" w:rsidR="00751BC9" w:rsidRPr="00751BC9" w:rsidRDefault="00751BC9" w:rsidP="00751BC9">
      <w:pPr>
        <w:pStyle w:val="NoSpacing"/>
        <w:rPr>
          <w:rFonts w:ascii="Calibri" w:hAnsi="Calibri"/>
          <w:b/>
          <w:sz w:val="24"/>
          <w:szCs w:val="24"/>
        </w:rPr>
      </w:pPr>
      <w:r w:rsidRPr="00751BC9">
        <w:rPr>
          <w:rFonts w:ascii="Calibri" w:hAnsi="Calibri"/>
          <w:b/>
          <w:sz w:val="24"/>
          <w:szCs w:val="24"/>
          <w:u w:val="single"/>
        </w:rPr>
        <w:t>Single Discount Rate</w:t>
      </w:r>
    </w:p>
    <w:p w14:paraId="7AF83AAE" w14:textId="77777777" w:rsidR="00751BC9" w:rsidRDefault="009A3EB1" w:rsidP="006D484F">
      <w:pPr>
        <w:pStyle w:val="NoSpacing"/>
        <w:jc w:val="both"/>
        <w:rPr>
          <w:rFonts w:ascii="Calibri" w:hAnsi="Calibri"/>
          <w:sz w:val="24"/>
          <w:szCs w:val="24"/>
        </w:rPr>
      </w:pPr>
      <w:r>
        <w:rPr>
          <w:rFonts w:ascii="Calibri" w:hAnsi="Calibri"/>
          <w:sz w:val="24"/>
          <w:szCs w:val="24"/>
        </w:rPr>
        <w:t>The Single Discount Rate of 3.</w:t>
      </w:r>
      <w:r w:rsidR="002F08E0">
        <w:rPr>
          <w:rFonts w:ascii="Calibri" w:hAnsi="Calibri"/>
          <w:sz w:val="24"/>
          <w:szCs w:val="24"/>
        </w:rPr>
        <w:t>13</w:t>
      </w:r>
      <w:r w:rsidR="00751BC9">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14:paraId="1FF015AE" w14:textId="77777777" w:rsidR="00751BC9" w:rsidRPr="00464BAE" w:rsidRDefault="00751BC9" w:rsidP="00EE3A1E">
      <w:pPr>
        <w:pStyle w:val="NoSpacing"/>
        <w:jc w:val="both"/>
        <w:rPr>
          <w:rFonts w:ascii="Calibri" w:hAnsi="Calibri"/>
          <w:sz w:val="12"/>
          <w:szCs w:val="12"/>
        </w:rPr>
      </w:pPr>
    </w:p>
    <w:p w14:paraId="587C8069" w14:textId="77777777" w:rsidR="0095119E" w:rsidRDefault="009A3EB1" w:rsidP="002F08E0">
      <w:pPr>
        <w:pStyle w:val="NoSpacing"/>
        <w:jc w:val="both"/>
        <w:rPr>
          <w:rFonts w:ascii="Calibri" w:hAnsi="Calibri"/>
          <w:b/>
          <w:sz w:val="24"/>
          <w:szCs w:val="24"/>
          <w:u w:val="single"/>
        </w:rPr>
      </w:pPr>
      <w:r>
        <w:rPr>
          <w:rFonts w:ascii="Calibri" w:hAnsi="Calibri"/>
          <w:sz w:val="24"/>
          <w:szCs w:val="24"/>
        </w:rPr>
        <w:t>A Single Discount Rate of 3.</w:t>
      </w:r>
      <w:r w:rsidR="00AE48BC">
        <w:rPr>
          <w:rFonts w:ascii="Calibri" w:hAnsi="Calibri"/>
          <w:sz w:val="24"/>
          <w:szCs w:val="24"/>
        </w:rPr>
        <w:t>04</w:t>
      </w:r>
      <w:r w:rsidR="00751BC9">
        <w:rPr>
          <w:rFonts w:ascii="Calibri" w:hAnsi="Calibri"/>
          <w:sz w:val="24"/>
          <w:szCs w:val="24"/>
        </w:rPr>
        <w:t xml:space="preserve">% was used to measure the total OPEB liability for the SCLTDITF.  This Single Discount Rate was based on an expected rate of return on plan investments of </w:t>
      </w:r>
      <w:r w:rsidR="00AE48BC">
        <w:rPr>
          <w:rFonts w:ascii="Calibri" w:hAnsi="Calibri"/>
          <w:sz w:val="24"/>
          <w:szCs w:val="24"/>
        </w:rPr>
        <w:t>3</w:t>
      </w:r>
      <w:r w:rsidR="00751BC9">
        <w:rPr>
          <w:rFonts w:ascii="Calibri" w:hAnsi="Calibri"/>
          <w:sz w:val="24"/>
          <w:szCs w:val="24"/>
        </w:rPr>
        <w:t>.00% and a municipal bond rate</w:t>
      </w:r>
      <w:r w:rsidR="002E346A">
        <w:rPr>
          <w:rFonts w:ascii="Calibri" w:hAnsi="Calibri"/>
          <w:sz w:val="24"/>
          <w:szCs w:val="24"/>
        </w:rPr>
        <w:t xml:space="preserve"> of</w:t>
      </w:r>
      <w:r w:rsidR="00751BC9">
        <w:rPr>
          <w:rFonts w:ascii="Calibri" w:hAnsi="Calibri"/>
          <w:sz w:val="24"/>
          <w:szCs w:val="24"/>
        </w:rPr>
        <w:t xml:space="preserve"> 3.</w:t>
      </w:r>
      <w:r w:rsidR="00AE48BC">
        <w:rPr>
          <w:rFonts w:ascii="Calibri" w:hAnsi="Calibri"/>
          <w:sz w:val="24"/>
          <w:szCs w:val="24"/>
        </w:rPr>
        <w:t>13</w:t>
      </w:r>
      <w:r w:rsidR="00751BC9">
        <w:rPr>
          <w:rFonts w:ascii="Calibri" w:hAnsi="Calibri"/>
          <w:sz w:val="24"/>
          <w:szCs w:val="24"/>
        </w:rPr>
        <w:t xml:space="preserve">%.  The projection of cash flows to determine this Single Discount Rate assumed that employer contributions will remain </w:t>
      </w:r>
      <w:r w:rsidR="00F60677">
        <w:rPr>
          <w:rFonts w:ascii="Calibri" w:hAnsi="Calibri"/>
          <w:sz w:val="24"/>
          <w:szCs w:val="24"/>
        </w:rPr>
        <w:t xml:space="preserve">at </w:t>
      </w:r>
      <w:r w:rsidR="00751BC9">
        <w:rPr>
          <w:rFonts w:ascii="Calibri" w:hAnsi="Calibri"/>
          <w:sz w:val="24"/>
          <w:szCs w:val="24"/>
        </w:rPr>
        <w:t xml:space="preserve">$38.64 per year for each covered active employee.  Based on these assumptions, the plan’s Fiduciary Net Position and future contributions were </w:t>
      </w:r>
      <w:proofErr w:type="gramStart"/>
      <w:r w:rsidR="00751BC9">
        <w:rPr>
          <w:rFonts w:ascii="Calibri" w:hAnsi="Calibri"/>
          <w:sz w:val="24"/>
          <w:szCs w:val="24"/>
        </w:rPr>
        <w:t>sufficient</w:t>
      </w:r>
      <w:proofErr w:type="gramEnd"/>
      <w:r w:rsidR="00751BC9">
        <w:rPr>
          <w:rFonts w:ascii="Calibri" w:hAnsi="Calibri"/>
          <w:sz w:val="24"/>
          <w:szCs w:val="24"/>
        </w:rPr>
        <w:t xml:space="preserve"> to finance the benefit payments through the year 203</w:t>
      </w:r>
      <w:r w:rsidR="002F08E0">
        <w:rPr>
          <w:rFonts w:ascii="Calibri" w:hAnsi="Calibri"/>
          <w:sz w:val="24"/>
          <w:szCs w:val="24"/>
        </w:rPr>
        <w:t>9</w:t>
      </w:r>
      <w:r w:rsidR="00751BC9">
        <w:rPr>
          <w:rFonts w:ascii="Calibri" w:hAnsi="Calibri"/>
          <w:sz w:val="24"/>
          <w:szCs w:val="24"/>
        </w:rPr>
        <w:t>.  As a result, the long-term expected rate of return on plan investments was applied to project benefit payments through the year 203</w:t>
      </w:r>
      <w:r w:rsidR="002F08E0">
        <w:rPr>
          <w:rFonts w:ascii="Calibri" w:hAnsi="Calibri"/>
          <w:sz w:val="24"/>
          <w:szCs w:val="24"/>
        </w:rPr>
        <w:t>9</w:t>
      </w:r>
      <w:r w:rsidR="00751BC9">
        <w:rPr>
          <w:rFonts w:ascii="Calibri" w:hAnsi="Calibri"/>
          <w:sz w:val="24"/>
          <w:szCs w:val="24"/>
        </w:rPr>
        <w:t>, and the municipal bond rate was applied to all benefit payments after that date.</w:t>
      </w:r>
      <w:r w:rsidR="0095119E">
        <w:rPr>
          <w:rFonts w:ascii="Calibri" w:hAnsi="Calibri"/>
          <w:b/>
          <w:sz w:val="24"/>
          <w:szCs w:val="24"/>
          <w:u w:val="single"/>
        </w:rPr>
        <w:br w:type="page"/>
      </w:r>
    </w:p>
    <w:p w14:paraId="3B5731EF" w14:textId="77777777" w:rsidR="00CE37E3" w:rsidRDefault="00CE37E3" w:rsidP="00CE37E3">
      <w:pPr>
        <w:pStyle w:val="NoSpacing"/>
        <w:jc w:val="both"/>
        <w:rPr>
          <w:rFonts w:ascii="Calibri" w:hAnsi="Calibri"/>
          <w:b/>
          <w:sz w:val="24"/>
          <w:szCs w:val="24"/>
          <w:u w:val="single"/>
        </w:rPr>
      </w:pPr>
      <w:r>
        <w:rPr>
          <w:rFonts w:ascii="Calibri" w:hAnsi="Calibri"/>
          <w:b/>
          <w:sz w:val="24"/>
          <w:szCs w:val="24"/>
          <w:u w:val="single"/>
        </w:rPr>
        <w:lastRenderedPageBreak/>
        <w:t>Long-term Expected Rate of Return</w:t>
      </w:r>
    </w:p>
    <w:p w14:paraId="1B2365FC" w14:textId="77777777" w:rsidR="00CE37E3" w:rsidRDefault="006D484F" w:rsidP="006D484F">
      <w:pPr>
        <w:pStyle w:val="NoSpacing"/>
        <w:jc w:val="both"/>
        <w:rPr>
          <w:sz w:val="24"/>
          <w:szCs w:val="24"/>
        </w:rPr>
      </w:pPr>
      <w:r>
        <w:rPr>
          <w:sz w:val="24"/>
          <w:szCs w:val="24"/>
        </w:rPr>
        <w:t>The long-term expected rate of return represent</w:t>
      </w:r>
      <w:r w:rsidR="00074225">
        <w:rPr>
          <w:sz w:val="24"/>
          <w:szCs w:val="24"/>
        </w:rPr>
        <w:t>s</w:t>
      </w:r>
      <w:r>
        <w:rPr>
          <w:sz w:val="24"/>
          <w:szCs w:val="24"/>
        </w:rPr>
        <w:t xml:space="preserve"> assumptions developed using an arithmetic building block approach primarily based on consensus expectations and </w:t>
      </w:r>
      <w:proofErr w:type="gramStart"/>
      <w:r>
        <w:rPr>
          <w:sz w:val="24"/>
          <w:szCs w:val="24"/>
        </w:rPr>
        <w:t>market based</w:t>
      </w:r>
      <w:proofErr w:type="gramEnd"/>
      <w:r>
        <w:rPr>
          <w:sz w:val="24"/>
          <w:szCs w:val="24"/>
        </w:rPr>
        <w:t xml:space="preserve"> inputs.  The expected returns, along with the expected inflation rate, form the basis for the target asset allocation adopted at the beginning of the 201</w:t>
      </w:r>
      <w:r w:rsidR="00982E23">
        <w:rPr>
          <w:sz w:val="24"/>
          <w:szCs w:val="24"/>
        </w:rPr>
        <w:t>8</w:t>
      </w:r>
      <w:r>
        <w:rPr>
          <w:sz w:val="24"/>
          <w:szCs w:val="24"/>
        </w:rPr>
        <w:t xml:space="preserve"> fiscal year.  The long-term expected rate of return is produced by weighting the expected future real rates of return by the target allocation percentage and adding expected inflation.</w:t>
      </w:r>
      <w:r w:rsidR="00705116">
        <w:rPr>
          <w:sz w:val="24"/>
          <w:szCs w:val="24"/>
        </w:rPr>
        <w:t xml:space="preserve">  This information is summarized in the following table:</w:t>
      </w:r>
    </w:p>
    <w:p w14:paraId="380C24F4" w14:textId="77777777" w:rsidR="00705116" w:rsidRPr="00AA4A61" w:rsidRDefault="00705116" w:rsidP="006D484F">
      <w:pPr>
        <w:pStyle w:val="NoSpacing"/>
        <w:jc w:val="both"/>
        <w:rPr>
          <w:sz w:val="20"/>
          <w:szCs w:val="20"/>
        </w:rPr>
      </w:pPr>
    </w:p>
    <w:bookmarkStart w:id="2" w:name="_MON_1568190750"/>
    <w:bookmarkEnd w:id="2"/>
    <w:p w14:paraId="44F26527" w14:textId="77777777" w:rsidR="000F6E25" w:rsidRDefault="000F6E25" w:rsidP="00A542F1">
      <w:pPr>
        <w:pStyle w:val="NoSpacing"/>
        <w:jc w:val="both"/>
        <w:rPr>
          <w:rFonts w:ascii="Calibri" w:hAnsi="Calibri"/>
          <w:sz w:val="24"/>
          <w:szCs w:val="24"/>
        </w:rPr>
      </w:pPr>
      <w:r w:rsidRPr="00CA3F2B">
        <w:rPr>
          <w:rFonts w:ascii="Calibri" w:hAnsi="Calibri"/>
          <w:sz w:val="24"/>
          <w:szCs w:val="24"/>
        </w:rPr>
        <w:object w:dxaOrig="10246" w:dyaOrig="8635" w14:anchorId="01C6EC56">
          <v:shape id="_x0000_i1026" type="#_x0000_t75" style="width:512.25pt;height:393pt" o:ole="">
            <v:imagedata r:id="rId11" o:title=""/>
          </v:shape>
          <o:OLEObject Type="Embed" ProgID="Excel.Sheet.12" ShapeID="_x0000_i1026" DrawAspect="Content" ObjectID="_1655647057" r:id="rId12"/>
        </w:object>
      </w:r>
    </w:p>
    <w:p w14:paraId="221F7212" w14:textId="77777777" w:rsidR="00EF7C06" w:rsidRDefault="00EF7C06">
      <w:pPr>
        <w:rPr>
          <w:rFonts w:ascii="Calibri" w:hAnsi="Calibri"/>
          <w:b/>
          <w:sz w:val="24"/>
          <w:szCs w:val="24"/>
          <w:u w:val="single"/>
        </w:rPr>
      </w:pPr>
      <w:r>
        <w:rPr>
          <w:rFonts w:ascii="Calibri" w:hAnsi="Calibri"/>
          <w:b/>
          <w:sz w:val="24"/>
          <w:szCs w:val="24"/>
          <w:u w:val="single"/>
        </w:rPr>
        <w:br w:type="page"/>
      </w:r>
    </w:p>
    <w:p w14:paraId="2B67DB68" w14:textId="77777777" w:rsidR="00A542F1" w:rsidRPr="00A542F1" w:rsidRDefault="00A542F1" w:rsidP="00A542F1">
      <w:pPr>
        <w:pStyle w:val="NoSpacing"/>
        <w:jc w:val="both"/>
        <w:rPr>
          <w:rFonts w:ascii="Calibri" w:hAnsi="Calibri"/>
          <w:b/>
          <w:sz w:val="24"/>
          <w:szCs w:val="24"/>
          <w:u w:val="single"/>
        </w:rPr>
      </w:pPr>
      <w:r w:rsidRPr="00A542F1">
        <w:rPr>
          <w:rFonts w:ascii="Calibri" w:hAnsi="Calibri"/>
          <w:b/>
          <w:sz w:val="24"/>
          <w:szCs w:val="24"/>
          <w:u w:val="single"/>
        </w:rPr>
        <w:lastRenderedPageBreak/>
        <w:t>Sensitivity Analysis</w:t>
      </w:r>
    </w:p>
    <w:p w14:paraId="4A58E778" w14:textId="77777777" w:rsidR="00A542F1" w:rsidRDefault="00A542F1" w:rsidP="00A542F1">
      <w:pPr>
        <w:pStyle w:val="NoSpacing"/>
        <w:jc w:val="both"/>
        <w:rPr>
          <w:rFonts w:ascii="Calibri" w:hAnsi="Calibri"/>
          <w:sz w:val="24"/>
          <w:szCs w:val="24"/>
        </w:rPr>
      </w:pPr>
      <w:r>
        <w:rPr>
          <w:rFonts w:ascii="Calibri" w:hAnsi="Calibri"/>
          <w:sz w:val="24"/>
          <w:szCs w:val="24"/>
        </w:rPr>
        <w:t>The following table presents the SCRHITF’s net OPEB liability calculated usi</w:t>
      </w:r>
      <w:r w:rsidR="009A3EB1">
        <w:rPr>
          <w:rFonts w:ascii="Calibri" w:hAnsi="Calibri"/>
          <w:sz w:val="24"/>
          <w:szCs w:val="24"/>
        </w:rPr>
        <w:t>ng a Single Discount Rate of 3.</w:t>
      </w:r>
      <w:r w:rsidR="00982E23">
        <w:rPr>
          <w:rFonts w:ascii="Calibri" w:hAnsi="Calibri"/>
          <w:sz w:val="24"/>
          <w:szCs w:val="24"/>
        </w:rPr>
        <w:t>13</w:t>
      </w:r>
      <w:r>
        <w:rPr>
          <w:rFonts w:ascii="Calibri" w:hAnsi="Calibri"/>
          <w:sz w:val="24"/>
          <w:szCs w:val="24"/>
        </w:rPr>
        <w:t>%, as well as what the plan’s net OPEB liability would be if it were calculated using a Single Discount Rate that is one percent lower or one percent higher:</w:t>
      </w:r>
    </w:p>
    <w:p w14:paraId="4FB4B365" w14:textId="77777777" w:rsidR="00A542F1" w:rsidRPr="00AA4A61" w:rsidRDefault="00A542F1" w:rsidP="00A542F1">
      <w:pPr>
        <w:pStyle w:val="NoSpacing"/>
        <w:ind w:left="720"/>
        <w:rPr>
          <w:rFonts w:ascii="Calibri" w:hAnsi="Calibri"/>
          <w:noProof/>
          <w:sz w:val="20"/>
          <w:szCs w:val="20"/>
        </w:rPr>
      </w:pPr>
    </w:p>
    <w:bookmarkStart w:id="3" w:name="_MON_1568191358"/>
    <w:bookmarkEnd w:id="3"/>
    <w:p w14:paraId="62530A7F" w14:textId="77777777" w:rsidR="00A542F1" w:rsidRDefault="00982E23" w:rsidP="00A542F1">
      <w:pPr>
        <w:pStyle w:val="NoSpacing"/>
        <w:jc w:val="center"/>
        <w:rPr>
          <w:rFonts w:ascii="Calibri" w:hAnsi="Calibri"/>
          <w:sz w:val="24"/>
          <w:szCs w:val="24"/>
        </w:rPr>
      </w:pPr>
      <w:r>
        <w:rPr>
          <w:rFonts w:ascii="Calibri" w:hAnsi="Calibri"/>
          <w:sz w:val="24"/>
          <w:szCs w:val="24"/>
        </w:rPr>
        <w:object w:dxaOrig="9035" w:dyaOrig="1763" w14:anchorId="47653E6A">
          <v:shape id="_x0000_i1027" type="#_x0000_t75" style="width:451.5pt;height:88.5pt" o:ole="">
            <v:imagedata r:id="rId13" o:title=""/>
          </v:shape>
          <o:OLEObject Type="Embed" ProgID="Excel.Sheet.12" ShapeID="_x0000_i1027" DrawAspect="Content" ObjectID="_1655647058" r:id="rId14"/>
        </w:object>
      </w:r>
    </w:p>
    <w:p w14:paraId="26C69E0D" w14:textId="77777777" w:rsidR="00A542F1" w:rsidRDefault="00A542F1" w:rsidP="00A93C23">
      <w:pPr>
        <w:jc w:val="both"/>
        <w:rPr>
          <w:rFonts w:ascii="Calibri" w:hAnsi="Calibri"/>
          <w:sz w:val="24"/>
          <w:szCs w:val="24"/>
        </w:rPr>
      </w:pPr>
      <w:r>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4" w:name="_MON_1568191603"/>
    <w:bookmarkEnd w:id="4"/>
    <w:p w14:paraId="2CAA327D" w14:textId="77777777" w:rsidR="00A542F1" w:rsidRDefault="00982E23" w:rsidP="00A542F1">
      <w:pPr>
        <w:pStyle w:val="NoSpacing"/>
        <w:jc w:val="center"/>
        <w:rPr>
          <w:rFonts w:ascii="Calibri" w:hAnsi="Calibri"/>
          <w:sz w:val="24"/>
          <w:szCs w:val="24"/>
        </w:rPr>
      </w:pPr>
      <w:r>
        <w:rPr>
          <w:rFonts w:ascii="Calibri" w:hAnsi="Calibri"/>
          <w:sz w:val="24"/>
          <w:szCs w:val="24"/>
        </w:rPr>
        <w:object w:dxaOrig="9035" w:dyaOrig="1181" w14:anchorId="12183192">
          <v:shape id="_x0000_i1028" type="#_x0000_t75" style="width:451.5pt;height:59.25pt" o:ole="">
            <v:imagedata r:id="rId15" o:title=""/>
          </v:shape>
          <o:OLEObject Type="Embed" ProgID="Excel.Sheet.12" ShapeID="_x0000_i1028" DrawAspect="Content" ObjectID="_1655647059" r:id="rId16"/>
        </w:object>
      </w:r>
    </w:p>
    <w:p w14:paraId="185FB01E" w14:textId="77777777" w:rsidR="000F6E25" w:rsidRDefault="000F6E25" w:rsidP="00A542F1">
      <w:pPr>
        <w:pStyle w:val="NoSpacing"/>
        <w:jc w:val="both"/>
        <w:rPr>
          <w:rFonts w:ascii="Calibri" w:hAnsi="Calibri"/>
          <w:sz w:val="24"/>
          <w:szCs w:val="24"/>
        </w:rPr>
      </w:pPr>
    </w:p>
    <w:p w14:paraId="29F4260C" w14:textId="77777777" w:rsidR="00A542F1" w:rsidRDefault="00A542F1" w:rsidP="00A542F1">
      <w:pPr>
        <w:pStyle w:val="NoSpacing"/>
        <w:jc w:val="both"/>
        <w:rPr>
          <w:rFonts w:ascii="Calibri" w:hAnsi="Calibri"/>
          <w:sz w:val="24"/>
          <w:szCs w:val="24"/>
        </w:rPr>
      </w:pPr>
      <w:r>
        <w:rPr>
          <w:rFonts w:ascii="Calibri" w:hAnsi="Calibri"/>
          <w:sz w:val="24"/>
          <w:szCs w:val="24"/>
        </w:rPr>
        <w:t>The following table presents the SCLTDITF’s net OPEB liability calculated usin</w:t>
      </w:r>
      <w:r w:rsidR="007A4133">
        <w:rPr>
          <w:rFonts w:ascii="Calibri" w:hAnsi="Calibri"/>
          <w:sz w:val="24"/>
          <w:szCs w:val="24"/>
        </w:rPr>
        <w:t>g a Single Discount Rate of 3.</w:t>
      </w:r>
      <w:r w:rsidR="00360C8A">
        <w:rPr>
          <w:rFonts w:ascii="Calibri" w:hAnsi="Calibri"/>
          <w:sz w:val="24"/>
          <w:szCs w:val="24"/>
        </w:rPr>
        <w:t>04</w:t>
      </w:r>
      <w:r>
        <w:rPr>
          <w:rFonts w:ascii="Calibri" w:hAnsi="Calibri"/>
          <w:sz w:val="24"/>
          <w:szCs w:val="24"/>
        </w:rPr>
        <w:t>%, as well as what the plan’s net OPEB liability would be if it were calculated using a Single Discount Rate that is one percent lower or one percent higher:</w:t>
      </w:r>
    </w:p>
    <w:p w14:paraId="16646836" w14:textId="77777777" w:rsidR="00A542F1" w:rsidRDefault="00A542F1" w:rsidP="00A542F1">
      <w:pPr>
        <w:pStyle w:val="NoSpacing"/>
        <w:ind w:left="720"/>
        <w:rPr>
          <w:rFonts w:ascii="Calibri" w:hAnsi="Calibri"/>
          <w:noProof/>
          <w:sz w:val="24"/>
          <w:szCs w:val="24"/>
        </w:rPr>
      </w:pPr>
    </w:p>
    <w:bookmarkStart w:id="5" w:name="_MON_1568191751"/>
    <w:bookmarkEnd w:id="5"/>
    <w:p w14:paraId="24FEAEE5" w14:textId="77777777" w:rsidR="00A542F1" w:rsidRDefault="00360C8A" w:rsidP="00A542F1">
      <w:pPr>
        <w:pStyle w:val="NoSpacing"/>
        <w:jc w:val="center"/>
        <w:rPr>
          <w:rFonts w:ascii="Calibri" w:hAnsi="Calibri"/>
          <w:sz w:val="24"/>
          <w:szCs w:val="24"/>
        </w:rPr>
      </w:pPr>
      <w:r>
        <w:rPr>
          <w:rFonts w:ascii="Calibri" w:hAnsi="Calibri"/>
          <w:sz w:val="24"/>
          <w:szCs w:val="24"/>
        </w:rPr>
        <w:object w:dxaOrig="9035" w:dyaOrig="1763" w14:anchorId="453255FA">
          <v:shape id="_x0000_i1029" type="#_x0000_t75" style="width:451.5pt;height:88.5pt" o:ole="">
            <v:imagedata r:id="rId17" o:title=""/>
          </v:shape>
          <o:OLEObject Type="Embed" ProgID="Excel.Sheet.12" ShapeID="_x0000_i1029" DrawAspect="Content" ObjectID="_1655647060" r:id="rId18"/>
        </w:object>
      </w:r>
    </w:p>
    <w:p w14:paraId="59884169" w14:textId="2EDED8FF" w:rsidR="002137E2" w:rsidRDefault="00833013">
      <w:pPr>
        <w:rPr>
          <w:rFonts w:ascii="Calibri" w:hAnsi="Calibri"/>
          <w:sz w:val="24"/>
          <w:szCs w:val="24"/>
        </w:rPr>
      </w:pPr>
      <w:r>
        <w:rPr>
          <w:rFonts w:ascii="Calibri" w:hAnsi="Calibri"/>
          <w:sz w:val="24"/>
          <w:szCs w:val="24"/>
        </w:rPr>
        <w:t>T</w:t>
      </w:r>
      <w:r w:rsidR="00BE5921">
        <w:rPr>
          <w:rFonts w:ascii="Calibri" w:hAnsi="Calibri"/>
          <w:sz w:val="24"/>
          <w:szCs w:val="24"/>
        </w:rPr>
        <w:t>he SC</w:t>
      </w:r>
      <w:r w:rsidR="00BE5921">
        <w:rPr>
          <w:rFonts w:ascii="Calibri" w:hAnsi="Calibri"/>
          <w:sz w:val="24"/>
          <w:szCs w:val="24"/>
        </w:rPr>
        <w:t>LTDI</w:t>
      </w:r>
      <w:r w:rsidR="00BE5921">
        <w:rPr>
          <w:rFonts w:ascii="Calibri" w:hAnsi="Calibri"/>
          <w:sz w:val="24"/>
          <w:szCs w:val="24"/>
        </w:rPr>
        <w:t xml:space="preserve">TF’s net OPEB liability </w:t>
      </w:r>
      <w:r>
        <w:rPr>
          <w:rFonts w:ascii="Calibri" w:hAnsi="Calibri"/>
          <w:sz w:val="24"/>
          <w:szCs w:val="24"/>
        </w:rPr>
        <w:t xml:space="preserve">is not affected by </w:t>
      </w:r>
      <w:r w:rsidR="00BE5921">
        <w:rPr>
          <w:rFonts w:ascii="Calibri" w:hAnsi="Calibri"/>
          <w:sz w:val="24"/>
          <w:szCs w:val="24"/>
        </w:rPr>
        <w:t>changes in the healthcare cost trend rates</w:t>
      </w:r>
      <w:r>
        <w:rPr>
          <w:rFonts w:ascii="Calibri" w:hAnsi="Calibri"/>
          <w:sz w:val="24"/>
          <w:szCs w:val="24"/>
        </w:rPr>
        <w:t xml:space="preserve"> due to the method used to calculate benefit payments.  Therefore, the sensitivity to changes in the healthcare cost trend rates have not been calculated.</w:t>
      </w:r>
    </w:p>
    <w:p w14:paraId="05DFFADB" w14:textId="7CA74BA4" w:rsidR="00BE5921" w:rsidRDefault="00BE5921">
      <w:pPr>
        <w:rPr>
          <w:rFonts w:ascii="Calibri" w:hAnsi="Calibri"/>
          <w:sz w:val="24"/>
          <w:szCs w:val="24"/>
        </w:rPr>
      </w:pPr>
    </w:p>
    <w:p w14:paraId="390DD99A" w14:textId="6361A8B5" w:rsidR="00BE5921" w:rsidRDefault="00BE5921">
      <w:pPr>
        <w:rPr>
          <w:rFonts w:ascii="Calibri" w:hAnsi="Calibri"/>
          <w:sz w:val="24"/>
          <w:szCs w:val="24"/>
        </w:rPr>
      </w:pPr>
    </w:p>
    <w:p w14:paraId="349217B3" w14:textId="63A3EFBD" w:rsidR="00BE5921" w:rsidRDefault="00BE5921">
      <w:pPr>
        <w:rPr>
          <w:rFonts w:ascii="Calibri" w:hAnsi="Calibri"/>
          <w:sz w:val="24"/>
          <w:szCs w:val="24"/>
        </w:rPr>
      </w:pPr>
    </w:p>
    <w:p w14:paraId="23310AF7" w14:textId="77777777" w:rsidR="00BE5921" w:rsidRDefault="00BE5921">
      <w:pPr>
        <w:rPr>
          <w:rFonts w:ascii="Calibri" w:hAnsi="Calibri"/>
          <w:b/>
          <w:sz w:val="24"/>
          <w:szCs w:val="24"/>
        </w:rPr>
      </w:pPr>
    </w:p>
    <w:p w14:paraId="5B423827" w14:textId="77777777" w:rsidR="00705116" w:rsidRDefault="00A542F1" w:rsidP="00705116">
      <w:pPr>
        <w:pStyle w:val="NoSpacing"/>
        <w:jc w:val="both"/>
        <w:rPr>
          <w:rFonts w:ascii="Calibri" w:hAnsi="Calibri"/>
          <w:b/>
          <w:sz w:val="24"/>
          <w:szCs w:val="24"/>
        </w:rPr>
      </w:pPr>
      <w:r>
        <w:rPr>
          <w:rFonts w:ascii="Calibri" w:hAnsi="Calibri"/>
          <w:b/>
          <w:sz w:val="24"/>
          <w:szCs w:val="24"/>
        </w:rPr>
        <w:lastRenderedPageBreak/>
        <w:t>Note 4:  OPEB Expense</w:t>
      </w:r>
    </w:p>
    <w:p w14:paraId="1671164C" w14:textId="77777777" w:rsidR="00A542F1" w:rsidRDefault="00E64100" w:rsidP="00705116">
      <w:pPr>
        <w:pStyle w:val="NoSpacing"/>
        <w:jc w:val="both"/>
        <w:rPr>
          <w:sz w:val="24"/>
          <w:szCs w:val="24"/>
        </w:rPr>
      </w:pPr>
      <w:r>
        <w:rPr>
          <w:sz w:val="24"/>
          <w:szCs w:val="24"/>
        </w:rPr>
        <w:t xml:space="preserve">Components of collective OPEB expense reported in the </w:t>
      </w:r>
      <w:r w:rsidR="00556D3E">
        <w:rPr>
          <w:sz w:val="24"/>
          <w:szCs w:val="24"/>
        </w:rPr>
        <w:t>Schedule of OPEB Amounts by Employer</w:t>
      </w:r>
      <w:r>
        <w:rPr>
          <w:sz w:val="24"/>
          <w:szCs w:val="24"/>
        </w:rPr>
        <w:t xml:space="preserve"> for the</w:t>
      </w:r>
      <w:r w:rsidR="003D1109">
        <w:rPr>
          <w:sz w:val="24"/>
          <w:szCs w:val="24"/>
        </w:rPr>
        <w:t xml:space="preserve"> fiscal year ended June 30, 201</w:t>
      </w:r>
      <w:r w:rsidR="00360C8A">
        <w:rPr>
          <w:sz w:val="24"/>
          <w:szCs w:val="24"/>
        </w:rPr>
        <w:t>9</w:t>
      </w:r>
      <w:r>
        <w:rPr>
          <w:sz w:val="24"/>
          <w:szCs w:val="24"/>
        </w:rPr>
        <w:t xml:space="preserve"> are presented below.</w:t>
      </w:r>
    </w:p>
    <w:p w14:paraId="0B712B31" w14:textId="77777777" w:rsidR="00EF7C06" w:rsidRPr="00EF7C06" w:rsidRDefault="00EF7C06" w:rsidP="00705116">
      <w:pPr>
        <w:pStyle w:val="NoSpacing"/>
        <w:jc w:val="both"/>
        <w:rPr>
          <w:sz w:val="16"/>
          <w:szCs w:val="16"/>
        </w:rPr>
      </w:pPr>
    </w:p>
    <w:bookmarkStart w:id="6" w:name="_MON_1592308385"/>
    <w:bookmarkEnd w:id="6"/>
    <w:p w14:paraId="0F92B884" w14:textId="77777777" w:rsidR="00E64100" w:rsidRDefault="002137E2" w:rsidP="00705116">
      <w:pPr>
        <w:pStyle w:val="NoSpacing"/>
        <w:jc w:val="both"/>
        <w:rPr>
          <w:rFonts w:ascii="Calibri" w:hAnsi="Calibri"/>
          <w:sz w:val="24"/>
          <w:szCs w:val="24"/>
        </w:rPr>
      </w:pPr>
      <w:r>
        <w:rPr>
          <w:rFonts w:ascii="Calibri" w:hAnsi="Calibri"/>
          <w:sz w:val="24"/>
          <w:szCs w:val="24"/>
        </w:rPr>
        <w:object w:dxaOrig="9373" w:dyaOrig="3534" w14:anchorId="37192A8B">
          <v:shape id="_x0000_i1030" type="#_x0000_t75" style="width:468pt;height:177.75pt" o:ole="">
            <v:imagedata r:id="rId19" o:title=""/>
          </v:shape>
          <o:OLEObject Type="Embed" ProgID="Excel.Sheet.12" ShapeID="_x0000_i1030" DrawAspect="Content" ObjectID="_1655647061" r:id="rId20"/>
        </w:object>
      </w:r>
      <w:r w:rsidR="00C546AF">
        <w:rPr>
          <w:rFonts w:ascii="Calibri" w:hAnsi="Calibri"/>
          <w:sz w:val="24"/>
          <w:szCs w:val="24"/>
        </w:rPr>
        <w:t xml:space="preserve">Additional items included in Total </w:t>
      </w:r>
      <w:r w:rsidR="00556D3E">
        <w:rPr>
          <w:rFonts w:ascii="Calibri" w:hAnsi="Calibri"/>
          <w:sz w:val="24"/>
          <w:szCs w:val="24"/>
        </w:rPr>
        <w:t>Employer</w:t>
      </w:r>
      <w:r w:rsidR="00C546AF">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Pr>
          <w:rFonts w:ascii="Calibri" w:hAnsi="Calibri"/>
          <w:sz w:val="24"/>
          <w:szCs w:val="24"/>
        </w:rPr>
        <w:t xml:space="preserve"> </w:t>
      </w:r>
    </w:p>
    <w:p w14:paraId="0ABD5EE5" w14:textId="77777777" w:rsidR="00360C8A" w:rsidRPr="00EF7C06" w:rsidRDefault="00360C8A" w:rsidP="00705116">
      <w:pPr>
        <w:pStyle w:val="NoSpacing"/>
        <w:jc w:val="both"/>
        <w:rPr>
          <w:rFonts w:ascii="Calibri" w:hAnsi="Calibri"/>
          <w:b/>
          <w:sz w:val="20"/>
          <w:szCs w:val="20"/>
        </w:rPr>
      </w:pPr>
    </w:p>
    <w:p w14:paraId="1DEE40D9" w14:textId="77777777" w:rsidR="008B4DC5" w:rsidRDefault="008B4DC5" w:rsidP="00705116">
      <w:pPr>
        <w:pStyle w:val="NoSpacing"/>
        <w:jc w:val="both"/>
        <w:rPr>
          <w:rFonts w:ascii="Calibri" w:hAnsi="Calibri"/>
          <w:b/>
          <w:sz w:val="24"/>
          <w:szCs w:val="24"/>
        </w:rPr>
      </w:pPr>
      <w:r>
        <w:rPr>
          <w:rFonts w:ascii="Calibri" w:hAnsi="Calibri"/>
          <w:b/>
          <w:sz w:val="24"/>
          <w:szCs w:val="24"/>
        </w:rPr>
        <w:t>Note 5:  Deferred Outflows and Inflows of Resources</w:t>
      </w:r>
    </w:p>
    <w:p w14:paraId="583A8D83" w14:textId="77777777" w:rsidR="0025545B" w:rsidRDefault="0025545B" w:rsidP="00705116">
      <w:pPr>
        <w:pStyle w:val="NoSpacing"/>
        <w:jc w:val="both"/>
        <w:rPr>
          <w:sz w:val="24"/>
          <w:szCs w:val="24"/>
        </w:rPr>
      </w:pPr>
      <w:r>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14:paraId="5953BBC5" w14:textId="77777777" w:rsidR="0025545B" w:rsidRPr="002137E2" w:rsidRDefault="0025545B" w:rsidP="00705116">
      <w:pPr>
        <w:pStyle w:val="NoSpacing"/>
        <w:jc w:val="both"/>
        <w:rPr>
          <w:sz w:val="16"/>
          <w:szCs w:val="16"/>
        </w:rPr>
      </w:pPr>
    </w:p>
    <w:p w14:paraId="7C5764F5" w14:textId="77777777" w:rsidR="0025545B" w:rsidRDefault="0025545B" w:rsidP="00705116">
      <w:pPr>
        <w:pStyle w:val="NoSpacing"/>
        <w:jc w:val="both"/>
        <w:rPr>
          <w:sz w:val="24"/>
          <w:szCs w:val="24"/>
        </w:rPr>
      </w:pPr>
      <w:r>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14:paraId="3FC8F687" w14:textId="77777777" w:rsidR="00EE3A1E" w:rsidRPr="002137E2" w:rsidRDefault="00EE3A1E" w:rsidP="00705116">
      <w:pPr>
        <w:pStyle w:val="NoSpacing"/>
        <w:jc w:val="both"/>
        <w:rPr>
          <w:sz w:val="16"/>
          <w:szCs w:val="16"/>
        </w:rPr>
      </w:pPr>
    </w:p>
    <w:p w14:paraId="1BA665B2" w14:textId="77777777" w:rsidR="001752F1" w:rsidRDefault="00C35892" w:rsidP="00705116">
      <w:pPr>
        <w:pStyle w:val="NoSpacing"/>
        <w:jc w:val="both"/>
        <w:rPr>
          <w:sz w:val="24"/>
          <w:szCs w:val="24"/>
        </w:rPr>
      </w:pPr>
      <w:r>
        <w:rPr>
          <w:sz w:val="24"/>
          <w:szCs w:val="24"/>
        </w:rPr>
        <w:t xml:space="preserve">The schedules </w:t>
      </w:r>
      <w:r w:rsidR="0025545B">
        <w:rPr>
          <w:sz w:val="24"/>
          <w:szCs w:val="24"/>
        </w:rPr>
        <w:t>on the following page</w:t>
      </w:r>
      <w:r w:rsidR="00896070">
        <w:rPr>
          <w:sz w:val="24"/>
          <w:szCs w:val="24"/>
        </w:rPr>
        <w:t>s</w:t>
      </w:r>
      <w:r>
        <w:rPr>
          <w:sz w:val="24"/>
          <w:szCs w:val="24"/>
        </w:rPr>
        <w:t xml:space="preserve"> reflect</w:t>
      </w:r>
      <w:r w:rsidR="0025545B">
        <w:rPr>
          <w:sz w:val="24"/>
          <w:szCs w:val="24"/>
        </w:rPr>
        <w:t>s</w:t>
      </w:r>
      <w:r>
        <w:rPr>
          <w:sz w:val="24"/>
          <w:szCs w:val="24"/>
        </w:rPr>
        <w:t xml:space="preserve"> the amortization of collective deferred outflows/(inflows) of resources related to O</w:t>
      </w:r>
      <w:r w:rsidR="00C60F17">
        <w:rPr>
          <w:sz w:val="24"/>
          <w:szCs w:val="24"/>
        </w:rPr>
        <w:t>PEB outstanding at June 30, 201</w:t>
      </w:r>
      <w:r w:rsidR="00360C8A">
        <w:rPr>
          <w:sz w:val="24"/>
          <w:szCs w:val="24"/>
        </w:rPr>
        <w:t>9</w:t>
      </w:r>
      <w:r>
        <w:rPr>
          <w:sz w:val="24"/>
          <w:szCs w:val="24"/>
        </w:rPr>
        <w:t>.</w:t>
      </w:r>
      <w:r w:rsidR="00EE3A1E">
        <w:rPr>
          <w:sz w:val="24"/>
          <w:szCs w:val="24"/>
        </w:rPr>
        <w:t xml:space="preserve">  </w:t>
      </w:r>
    </w:p>
    <w:p w14:paraId="59983089" w14:textId="77777777" w:rsidR="001752F1" w:rsidRPr="002137E2" w:rsidRDefault="001752F1" w:rsidP="00705116">
      <w:pPr>
        <w:pStyle w:val="NoSpacing"/>
        <w:jc w:val="both"/>
        <w:rPr>
          <w:sz w:val="16"/>
          <w:szCs w:val="16"/>
        </w:rPr>
      </w:pPr>
    </w:p>
    <w:p w14:paraId="3E8ACD90" w14:textId="77777777" w:rsidR="008B4DC5" w:rsidRPr="000D1756" w:rsidRDefault="00EE3A1E" w:rsidP="00705116">
      <w:pPr>
        <w:pStyle w:val="NoSpacing"/>
        <w:jc w:val="both"/>
        <w:rPr>
          <w:sz w:val="24"/>
          <w:szCs w:val="24"/>
        </w:rPr>
      </w:pPr>
      <w:r w:rsidRPr="000D1756">
        <w:rPr>
          <w:sz w:val="24"/>
          <w:szCs w:val="24"/>
        </w:rPr>
        <w:t>As a reminder, in addition to recognizing a proportionate share of the deferred outflows and inflows shown on the following page, employers will also need to establish:</w:t>
      </w:r>
    </w:p>
    <w:p w14:paraId="6DFCE653" w14:textId="77777777" w:rsidR="00EE3A1E" w:rsidRPr="000D1756" w:rsidRDefault="00EE3A1E" w:rsidP="00EE3A1E">
      <w:pPr>
        <w:pStyle w:val="NoSpacing"/>
        <w:numPr>
          <w:ilvl w:val="0"/>
          <w:numId w:val="2"/>
        </w:numPr>
        <w:jc w:val="both"/>
        <w:rPr>
          <w:sz w:val="24"/>
          <w:szCs w:val="24"/>
        </w:rPr>
      </w:pPr>
      <w:r w:rsidRPr="000D1756">
        <w:rPr>
          <w:sz w:val="24"/>
          <w:szCs w:val="24"/>
        </w:rPr>
        <w:t xml:space="preserve">Deferred outflows and inflows related to changes in proportionate </w:t>
      </w:r>
      <w:r w:rsidR="004A754F" w:rsidRPr="000D1756">
        <w:rPr>
          <w:sz w:val="24"/>
          <w:szCs w:val="24"/>
        </w:rPr>
        <w:t>shares and differences between contributions and proportionate share of contributions;</w:t>
      </w:r>
    </w:p>
    <w:p w14:paraId="1A1CF644" w14:textId="77777777" w:rsidR="004D3058" w:rsidRDefault="004A754F" w:rsidP="004D3058">
      <w:pPr>
        <w:pStyle w:val="NoSpacing"/>
        <w:numPr>
          <w:ilvl w:val="0"/>
          <w:numId w:val="2"/>
        </w:numPr>
        <w:rPr>
          <w:sz w:val="24"/>
          <w:szCs w:val="24"/>
        </w:rPr>
      </w:pPr>
      <w:r w:rsidRPr="002137E2">
        <w:rPr>
          <w:sz w:val="24"/>
          <w:szCs w:val="24"/>
        </w:rPr>
        <w:t>A deferred outflow related to contributions made after the measurement date.  This deferred outflow should include payroll-related surcharge contributions and implicit subsidies.</w:t>
      </w:r>
    </w:p>
    <w:bookmarkStart w:id="7" w:name="_MON_1592312025"/>
    <w:bookmarkEnd w:id="7"/>
    <w:p w14:paraId="642048C5" w14:textId="15E25B4D" w:rsidR="004D3058" w:rsidRPr="004D3058" w:rsidRDefault="005D36A9" w:rsidP="004D3058">
      <w:pPr>
        <w:pStyle w:val="NoSpacing"/>
        <w:rPr>
          <w:sz w:val="24"/>
          <w:szCs w:val="24"/>
        </w:rPr>
      </w:pPr>
      <w:r>
        <w:rPr>
          <w:sz w:val="24"/>
          <w:szCs w:val="24"/>
        </w:rPr>
        <w:object w:dxaOrig="8730" w:dyaOrig="12015" w14:anchorId="5B81DE5A">
          <v:shape id="_x0000_i1042" type="#_x0000_t75" style="width:435.75pt;height:601.5pt" o:ole="">
            <v:imagedata r:id="rId21" o:title=""/>
          </v:shape>
          <o:OLEObject Type="Embed" ProgID="Excel.Sheet.12" ShapeID="_x0000_i1042" DrawAspect="Content" ObjectID="_1655647062" r:id="rId22"/>
        </w:object>
      </w:r>
    </w:p>
    <w:bookmarkStart w:id="8" w:name="_MON_1623242058"/>
    <w:bookmarkEnd w:id="8"/>
    <w:p w14:paraId="4594A501" w14:textId="71574EA3" w:rsidR="00C35892" w:rsidRPr="002137E2" w:rsidRDefault="00833013" w:rsidP="004D3058">
      <w:pPr>
        <w:pStyle w:val="NoSpacing"/>
        <w:jc w:val="center"/>
        <w:rPr>
          <w:sz w:val="24"/>
          <w:szCs w:val="24"/>
        </w:rPr>
      </w:pPr>
      <w:r>
        <w:rPr>
          <w:sz w:val="24"/>
          <w:szCs w:val="24"/>
        </w:rPr>
        <w:object w:dxaOrig="8730" w:dyaOrig="12615" w14:anchorId="203C03F4">
          <v:shape id="_x0000_i1052" type="#_x0000_t75" style="width:411.75pt;height:594pt" o:ole="">
            <v:imagedata r:id="rId23" o:title=""/>
          </v:shape>
          <o:OLEObject Type="Embed" ProgID="Excel.Sheet.12" ShapeID="_x0000_i1052" DrawAspect="Content" ObjectID="_1655647063" r:id="rId24"/>
        </w:object>
      </w:r>
    </w:p>
    <w:p w14:paraId="728ADF5E" w14:textId="77777777" w:rsidR="002E0323" w:rsidRDefault="002E0323">
      <w:pPr>
        <w:rPr>
          <w:sz w:val="24"/>
          <w:szCs w:val="24"/>
        </w:rPr>
      </w:pPr>
      <w:r>
        <w:rPr>
          <w:sz w:val="24"/>
          <w:szCs w:val="24"/>
        </w:rPr>
        <w:br w:type="page"/>
      </w:r>
    </w:p>
    <w:p w14:paraId="54A80857" w14:textId="77777777" w:rsidR="002E0323" w:rsidRPr="002E0323" w:rsidRDefault="002E0323" w:rsidP="00705116">
      <w:pPr>
        <w:pStyle w:val="NoSpacing"/>
        <w:jc w:val="both"/>
        <w:rPr>
          <w:b/>
          <w:sz w:val="24"/>
          <w:szCs w:val="24"/>
        </w:rPr>
      </w:pPr>
      <w:r w:rsidRPr="002E0323">
        <w:rPr>
          <w:b/>
          <w:sz w:val="24"/>
          <w:szCs w:val="24"/>
        </w:rPr>
        <w:lastRenderedPageBreak/>
        <w:t>Note 6:  Additional Financial and Actuarial Information</w:t>
      </w:r>
    </w:p>
    <w:p w14:paraId="4D54E0B9" w14:textId="77777777" w:rsidR="002E0323" w:rsidRPr="008B4DC5" w:rsidRDefault="002E0323" w:rsidP="00705116">
      <w:pPr>
        <w:pStyle w:val="NoSpacing"/>
        <w:jc w:val="both"/>
        <w:rPr>
          <w:sz w:val="24"/>
          <w:szCs w:val="24"/>
        </w:rPr>
      </w:pPr>
      <w:r>
        <w:rPr>
          <w:sz w:val="24"/>
          <w:szCs w:val="24"/>
        </w:rPr>
        <w:t xml:space="preserve">Information contained in these Notes to the Schedules of OPEB </w:t>
      </w:r>
      <w:r w:rsidR="00705CEB">
        <w:rPr>
          <w:sz w:val="24"/>
          <w:szCs w:val="24"/>
        </w:rPr>
        <w:t xml:space="preserve">Amounts by Employer </w:t>
      </w:r>
      <w:r>
        <w:rPr>
          <w:sz w:val="24"/>
          <w:szCs w:val="24"/>
        </w:rPr>
        <w:t xml:space="preserve">(the Schedules) were compiled from the </w:t>
      </w:r>
      <w:r w:rsidR="00AB455E">
        <w:rPr>
          <w:sz w:val="24"/>
          <w:szCs w:val="24"/>
        </w:rPr>
        <w:t>OPEB Trust Funds audited financial statements for the fiscal year ended June 30, 201</w:t>
      </w:r>
      <w:r w:rsidR="002137E2">
        <w:rPr>
          <w:sz w:val="24"/>
          <w:szCs w:val="24"/>
        </w:rPr>
        <w:t>9</w:t>
      </w:r>
      <w:r w:rsidR="00AB455E">
        <w:rPr>
          <w:sz w:val="24"/>
          <w:szCs w:val="24"/>
        </w:rPr>
        <w:t>, and the accounting and financial reporting actuari</w:t>
      </w:r>
      <w:r w:rsidR="00C60F17">
        <w:rPr>
          <w:sz w:val="24"/>
          <w:szCs w:val="24"/>
        </w:rPr>
        <w:t>al valuation</w:t>
      </w:r>
      <w:r w:rsidR="007929EA">
        <w:rPr>
          <w:sz w:val="24"/>
          <w:szCs w:val="24"/>
        </w:rPr>
        <w:t>s</w:t>
      </w:r>
      <w:r w:rsidR="00C60F17">
        <w:rPr>
          <w:sz w:val="24"/>
          <w:szCs w:val="24"/>
        </w:rPr>
        <w:t xml:space="preserve"> as of June 30, 201</w:t>
      </w:r>
      <w:r w:rsidR="002137E2">
        <w:rPr>
          <w:sz w:val="24"/>
          <w:szCs w:val="24"/>
        </w:rPr>
        <w:t>9</w:t>
      </w:r>
      <w:r w:rsidR="00AB455E">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Pr>
          <w:sz w:val="24"/>
          <w:szCs w:val="24"/>
        </w:rPr>
        <w:t xml:space="preserve"> OPEB</w:t>
      </w:r>
      <w:r w:rsidR="004A754F">
        <w:rPr>
          <w:sz w:val="24"/>
          <w:szCs w:val="24"/>
        </w:rPr>
        <w:t xml:space="preserve"> plan.</w:t>
      </w:r>
    </w:p>
    <w:sectPr w:rsidR="002E0323" w:rsidRPr="008B4DC5" w:rsidSect="0072251C">
      <w:headerReference w:type="default" r:id="rId25"/>
      <w:footerReference w:type="default" r:id="rId26"/>
      <w:pgSz w:w="12240" w:h="15840"/>
      <w:pgMar w:top="1440" w:right="1440" w:bottom="1440" w:left="1440" w:header="720" w:footer="432"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33B93" w14:textId="77777777" w:rsidR="00977134" w:rsidRDefault="00977134" w:rsidP="00977134">
      <w:pPr>
        <w:spacing w:after="0" w:line="240" w:lineRule="auto"/>
      </w:pPr>
      <w:r>
        <w:separator/>
      </w:r>
    </w:p>
  </w:endnote>
  <w:endnote w:type="continuationSeparator" w:id="0">
    <w:p w14:paraId="3E5A0B08" w14:textId="77777777"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052136"/>
      <w:docPartObj>
        <w:docPartGallery w:val="Page Numbers (Bottom of Page)"/>
        <w:docPartUnique/>
      </w:docPartObj>
    </w:sdtPr>
    <w:sdtEndPr/>
    <w:sdtContent>
      <w:sdt>
        <w:sdtPr>
          <w:id w:val="-1769616900"/>
          <w:docPartObj>
            <w:docPartGallery w:val="Page Numbers (Top of Page)"/>
            <w:docPartUnique/>
          </w:docPartObj>
        </w:sdtPr>
        <w:sdtEndPr/>
        <w:sdtContent>
          <w:p w14:paraId="77A85728" w14:textId="77777777" w:rsidR="00DB7DC2" w:rsidRDefault="00DB7DC2">
            <w:pPr>
              <w:pStyle w:val="Footer"/>
              <w:jc w:val="right"/>
            </w:pPr>
            <w:r w:rsidRPr="00DB7DC2">
              <w:t xml:space="preserve">Page </w:t>
            </w:r>
            <w:r w:rsidRPr="00DB7DC2">
              <w:rPr>
                <w:sz w:val="24"/>
                <w:szCs w:val="24"/>
              </w:rPr>
              <w:fldChar w:fldCharType="begin"/>
            </w:r>
            <w:r w:rsidRPr="00DB7DC2">
              <w:instrText xml:space="preserve"> PAGE </w:instrText>
            </w:r>
            <w:r w:rsidRPr="00DB7DC2">
              <w:rPr>
                <w:sz w:val="24"/>
                <w:szCs w:val="24"/>
              </w:rPr>
              <w:fldChar w:fldCharType="separate"/>
            </w:r>
            <w:r w:rsidRPr="00DB7DC2">
              <w:rPr>
                <w:noProof/>
              </w:rPr>
              <w:t>2</w:t>
            </w:r>
            <w:r w:rsidRPr="00DB7DC2">
              <w:rPr>
                <w:sz w:val="24"/>
                <w:szCs w:val="24"/>
              </w:rPr>
              <w:fldChar w:fldCharType="end"/>
            </w:r>
            <w:r w:rsidRPr="00DB7DC2">
              <w:t xml:space="preserve"> of </w:t>
            </w:r>
            <w:r w:rsidRPr="00DB7DC2">
              <w:rPr>
                <w:sz w:val="24"/>
                <w:szCs w:val="24"/>
              </w:rPr>
              <w:t>59</w:t>
            </w:r>
          </w:p>
        </w:sdtContent>
      </w:sdt>
    </w:sdtContent>
  </w:sdt>
  <w:p w14:paraId="10248F79" w14:textId="77777777" w:rsidR="006A36A9" w:rsidRDefault="006A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078A4" w14:textId="77777777" w:rsidR="00977134" w:rsidRDefault="00977134" w:rsidP="00977134">
      <w:pPr>
        <w:spacing w:after="0" w:line="240" w:lineRule="auto"/>
      </w:pPr>
      <w:r>
        <w:separator/>
      </w:r>
    </w:p>
  </w:footnote>
  <w:footnote w:type="continuationSeparator" w:id="0">
    <w:p w14:paraId="2C12365A" w14:textId="77777777"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0EA3" w14:textId="77777777" w:rsidR="00977134" w:rsidRDefault="00977134" w:rsidP="00977134">
    <w:pPr>
      <w:pStyle w:val="Header"/>
      <w:jc w:val="center"/>
      <w:rPr>
        <w:b/>
        <w:sz w:val="24"/>
        <w:szCs w:val="24"/>
      </w:rPr>
    </w:pPr>
    <w:r>
      <w:rPr>
        <w:b/>
        <w:sz w:val="24"/>
        <w:szCs w:val="24"/>
      </w:rPr>
      <w:t>South Carolina OPEB Trusts</w:t>
    </w:r>
  </w:p>
  <w:p w14:paraId="0F2755A4" w14:textId="77777777"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14:paraId="730D208F" w14:textId="77777777" w:rsidR="006A36A9" w:rsidRDefault="006A36A9" w:rsidP="00977134">
    <w:pPr>
      <w:pStyle w:val="Header"/>
      <w:jc w:val="center"/>
      <w:rPr>
        <w:b/>
        <w:sz w:val="24"/>
        <w:szCs w:val="24"/>
      </w:rPr>
    </w:pPr>
    <w:r>
      <w:rPr>
        <w:b/>
        <w:sz w:val="24"/>
        <w:szCs w:val="24"/>
      </w:rPr>
      <w:t>OPEB Amounts by Employer</w:t>
    </w:r>
  </w:p>
  <w:p w14:paraId="59A6FFB0" w14:textId="77777777"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201</w:t>
    </w:r>
    <w:r w:rsidR="00255DF1">
      <w:rPr>
        <w:b/>
        <w:sz w:val="24"/>
        <w:szCs w:val="24"/>
      </w:rPr>
      <w:t>9</w:t>
    </w:r>
  </w:p>
  <w:p w14:paraId="76ABF8F2" w14:textId="77777777"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7A"/>
    <w:rsid w:val="00056F62"/>
    <w:rsid w:val="000577DC"/>
    <w:rsid w:val="0006275F"/>
    <w:rsid w:val="0006430D"/>
    <w:rsid w:val="000728BB"/>
    <w:rsid w:val="00074225"/>
    <w:rsid w:val="00097CCE"/>
    <w:rsid w:val="000A1AEF"/>
    <w:rsid w:val="000D1756"/>
    <w:rsid w:val="000F6E25"/>
    <w:rsid w:val="001752F1"/>
    <w:rsid w:val="001C5018"/>
    <w:rsid w:val="001F2742"/>
    <w:rsid w:val="001F6BF1"/>
    <w:rsid w:val="002137E2"/>
    <w:rsid w:val="002325D1"/>
    <w:rsid w:val="00245F83"/>
    <w:rsid w:val="002530D7"/>
    <w:rsid w:val="0025545B"/>
    <w:rsid w:val="00255DF1"/>
    <w:rsid w:val="002B7D61"/>
    <w:rsid w:val="002E0323"/>
    <w:rsid w:val="002E346A"/>
    <w:rsid w:val="002F08E0"/>
    <w:rsid w:val="002F26B6"/>
    <w:rsid w:val="002F79D5"/>
    <w:rsid w:val="003265FB"/>
    <w:rsid w:val="00360C8A"/>
    <w:rsid w:val="003900E2"/>
    <w:rsid w:val="003A6F19"/>
    <w:rsid w:val="003B5773"/>
    <w:rsid w:val="003D1109"/>
    <w:rsid w:val="00413B79"/>
    <w:rsid w:val="00464BAE"/>
    <w:rsid w:val="004A754F"/>
    <w:rsid w:val="004C6537"/>
    <w:rsid w:val="004D3058"/>
    <w:rsid w:val="004D6FEC"/>
    <w:rsid w:val="005031EE"/>
    <w:rsid w:val="00556577"/>
    <w:rsid w:val="00556D3E"/>
    <w:rsid w:val="0059180D"/>
    <w:rsid w:val="0059318D"/>
    <w:rsid w:val="005D36A9"/>
    <w:rsid w:val="005F17A0"/>
    <w:rsid w:val="0061154B"/>
    <w:rsid w:val="00625E3C"/>
    <w:rsid w:val="00665DFC"/>
    <w:rsid w:val="006A36A9"/>
    <w:rsid w:val="006D1F7A"/>
    <w:rsid w:val="006D484F"/>
    <w:rsid w:val="00704455"/>
    <w:rsid w:val="00705116"/>
    <w:rsid w:val="00705CEB"/>
    <w:rsid w:val="0072251C"/>
    <w:rsid w:val="0074566A"/>
    <w:rsid w:val="00751BC9"/>
    <w:rsid w:val="0078434C"/>
    <w:rsid w:val="007929EA"/>
    <w:rsid w:val="00794E29"/>
    <w:rsid w:val="007A4133"/>
    <w:rsid w:val="007A5F93"/>
    <w:rsid w:val="007D3C4A"/>
    <w:rsid w:val="00833013"/>
    <w:rsid w:val="008674B6"/>
    <w:rsid w:val="00896070"/>
    <w:rsid w:val="008B4DC5"/>
    <w:rsid w:val="008B7EE2"/>
    <w:rsid w:val="008E36E7"/>
    <w:rsid w:val="009001E0"/>
    <w:rsid w:val="0090633D"/>
    <w:rsid w:val="00943FD5"/>
    <w:rsid w:val="0095119E"/>
    <w:rsid w:val="00971109"/>
    <w:rsid w:val="00977134"/>
    <w:rsid w:val="00982928"/>
    <w:rsid w:val="00982A7B"/>
    <w:rsid w:val="00982E23"/>
    <w:rsid w:val="009A3EB1"/>
    <w:rsid w:val="009C4CCA"/>
    <w:rsid w:val="009E1B05"/>
    <w:rsid w:val="00A502D3"/>
    <w:rsid w:val="00A542F1"/>
    <w:rsid w:val="00A93C23"/>
    <w:rsid w:val="00AA4A61"/>
    <w:rsid w:val="00AB219E"/>
    <w:rsid w:val="00AB455E"/>
    <w:rsid w:val="00AE484C"/>
    <w:rsid w:val="00AE48BC"/>
    <w:rsid w:val="00B31AFC"/>
    <w:rsid w:val="00B613A0"/>
    <w:rsid w:val="00BE5921"/>
    <w:rsid w:val="00C35892"/>
    <w:rsid w:val="00C546AF"/>
    <w:rsid w:val="00C60F17"/>
    <w:rsid w:val="00C72F3B"/>
    <w:rsid w:val="00C82CE1"/>
    <w:rsid w:val="00CC3E46"/>
    <w:rsid w:val="00CD07E8"/>
    <w:rsid w:val="00CD4346"/>
    <w:rsid w:val="00CE37E3"/>
    <w:rsid w:val="00D2418F"/>
    <w:rsid w:val="00DB7DC2"/>
    <w:rsid w:val="00DC710E"/>
    <w:rsid w:val="00DF1998"/>
    <w:rsid w:val="00E159A9"/>
    <w:rsid w:val="00E37E2E"/>
    <w:rsid w:val="00E64100"/>
    <w:rsid w:val="00E71597"/>
    <w:rsid w:val="00E7369C"/>
    <w:rsid w:val="00E9215E"/>
    <w:rsid w:val="00ED623C"/>
    <w:rsid w:val="00EE3A1E"/>
    <w:rsid w:val="00EF7C06"/>
    <w:rsid w:val="00F60677"/>
    <w:rsid w:val="00F60E4D"/>
    <w:rsid w:val="00F87A8D"/>
    <w:rsid w:val="00FB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15D409"/>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7.xlsx"/><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028B-1397-4F43-8B3F-4F684FEE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3796</TotalTime>
  <Pages>12</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52</cp:revision>
  <cp:lastPrinted>2020-06-02T16:03:00Z</cp:lastPrinted>
  <dcterms:created xsi:type="dcterms:W3CDTF">2019-06-27T20:50:00Z</dcterms:created>
  <dcterms:modified xsi:type="dcterms:W3CDTF">2020-07-07T21:11:00Z</dcterms:modified>
</cp:coreProperties>
</file>