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7DE5E3" w14:textId="77777777" w:rsidR="006D1F7A" w:rsidRPr="007A5F93" w:rsidRDefault="007A5F93" w:rsidP="006D1F7A">
      <w:pPr>
        <w:spacing w:after="0"/>
        <w:rPr>
          <w:b/>
          <w:sz w:val="24"/>
          <w:szCs w:val="24"/>
        </w:rPr>
      </w:pPr>
      <w:r w:rsidRPr="007A5F93">
        <w:rPr>
          <w:b/>
          <w:sz w:val="24"/>
          <w:szCs w:val="24"/>
        </w:rPr>
        <w:t xml:space="preserve">Note 1: </w:t>
      </w:r>
      <w:r w:rsidR="006D1F7A" w:rsidRPr="007A5F93">
        <w:rPr>
          <w:b/>
          <w:sz w:val="24"/>
          <w:szCs w:val="24"/>
        </w:rPr>
        <w:t>Description</w:t>
      </w:r>
      <w:r w:rsidR="00556577" w:rsidRPr="007A5F93">
        <w:rPr>
          <w:b/>
          <w:sz w:val="24"/>
          <w:szCs w:val="24"/>
        </w:rPr>
        <w:t xml:space="preserve"> of the Entity</w:t>
      </w:r>
      <w:r w:rsidR="000577DC" w:rsidRPr="007A5F93">
        <w:rPr>
          <w:b/>
          <w:sz w:val="24"/>
          <w:szCs w:val="24"/>
        </w:rPr>
        <w:t xml:space="preserve"> and Summary of Significant Accounting Policies</w:t>
      </w:r>
    </w:p>
    <w:p w14:paraId="7DE913DF" w14:textId="77777777" w:rsidR="006D1F7A" w:rsidRDefault="006D1F7A" w:rsidP="006D1F7A">
      <w:pPr>
        <w:spacing w:after="0"/>
      </w:pPr>
    </w:p>
    <w:p w14:paraId="71AC4D1E" w14:textId="77777777" w:rsidR="006D1F7A" w:rsidRPr="00FF4795" w:rsidRDefault="006D1F7A" w:rsidP="006D1F7A">
      <w:pPr>
        <w:pStyle w:val="NoSpacing"/>
        <w:jc w:val="both"/>
        <w:rPr>
          <w:rFonts w:ascii="Calibri" w:hAnsi="Calibri"/>
          <w:sz w:val="24"/>
          <w:szCs w:val="24"/>
        </w:rPr>
      </w:pPr>
      <w:r w:rsidRPr="00FF4795">
        <w:rPr>
          <w:rFonts w:ascii="Calibri" w:hAnsi="Calibri"/>
          <w:sz w:val="24"/>
          <w:szCs w:val="24"/>
        </w:rPr>
        <w:t>The South Carolina Public Employee Benefit Authority (PEBA) was created by the South Carolina General Assembly as part of Act No. 278 effective July 1, 2012.  PEBA</w:t>
      </w:r>
      <w:r w:rsidR="007D3C4A">
        <w:rPr>
          <w:rFonts w:ascii="Calibri" w:hAnsi="Calibri"/>
          <w:sz w:val="24"/>
          <w:szCs w:val="24"/>
        </w:rPr>
        <w:t xml:space="preserve"> – Insurance Benefits</w:t>
      </w:r>
      <w:r w:rsidRPr="00FF4795">
        <w:rPr>
          <w:rFonts w:ascii="Calibri" w:hAnsi="Calibri"/>
          <w:sz w:val="24"/>
          <w:szCs w:val="24"/>
        </w:rPr>
        <w:t xml:space="preserve"> is a state agency responsible for the administration and management of the state’s employee insurance programs, other post-employment benefits </w:t>
      </w:r>
      <w:proofErr w:type="gramStart"/>
      <w:r w:rsidRPr="00FF4795">
        <w:rPr>
          <w:rFonts w:ascii="Calibri" w:hAnsi="Calibri"/>
          <w:sz w:val="24"/>
          <w:szCs w:val="24"/>
        </w:rPr>
        <w:t>trusts</w:t>
      </w:r>
      <w:proofErr w:type="gramEnd"/>
      <w:r w:rsidRPr="00FF4795">
        <w:rPr>
          <w:rFonts w:ascii="Calibri" w:hAnsi="Calibri"/>
          <w:sz w:val="24"/>
          <w:szCs w:val="24"/>
        </w:rPr>
        <w:t xml:space="preserve"> and retirement systems and is part of the State of South Carolina primary government.</w:t>
      </w:r>
    </w:p>
    <w:p w14:paraId="7A176285" w14:textId="77777777" w:rsidR="006D1F7A" w:rsidRPr="00FF4795" w:rsidRDefault="006D1F7A" w:rsidP="006D1F7A">
      <w:pPr>
        <w:pStyle w:val="NoSpacing"/>
        <w:ind w:left="864"/>
        <w:jc w:val="both"/>
        <w:rPr>
          <w:rFonts w:ascii="Calibri" w:hAnsi="Calibri"/>
          <w:sz w:val="24"/>
          <w:szCs w:val="24"/>
        </w:rPr>
      </w:pPr>
    </w:p>
    <w:p w14:paraId="6E2B746F" w14:textId="77777777" w:rsidR="006D1F7A" w:rsidRDefault="006D1F7A" w:rsidP="006D1F7A">
      <w:pPr>
        <w:spacing w:after="0"/>
        <w:jc w:val="both"/>
        <w:rPr>
          <w:rFonts w:ascii="Calibri" w:hAnsi="Calibri"/>
          <w:sz w:val="24"/>
          <w:szCs w:val="24"/>
        </w:rPr>
      </w:pPr>
      <w:r w:rsidRPr="00FF4795">
        <w:rPr>
          <w:rFonts w:ascii="Calibri" w:hAnsi="Calibri"/>
          <w:sz w:val="24"/>
          <w:szCs w:val="24"/>
        </w:rPr>
        <w:t xml:space="preserve">The governing board of PEBA is a board of 11 members.  The membership composition is three members appointed by the Governor, two members appointed by the President Pro Tempore of the Senate, two members appointed by the Chairman of the Senate Finance Committee, two members appointed by the Speaker </w:t>
      </w:r>
      <w:r>
        <w:rPr>
          <w:rFonts w:ascii="Calibri" w:hAnsi="Calibri"/>
          <w:sz w:val="24"/>
          <w:szCs w:val="24"/>
        </w:rPr>
        <w:t>of the House of Representatives and</w:t>
      </w:r>
      <w:r w:rsidRPr="00FF4795">
        <w:rPr>
          <w:rFonts w:ascii="Calibri" w:hAnsi="Calibri"/>
          <w:sz w:val="24"/>
          <w:szCs w:val="24"/>
        </w:rPr>
        <w:t xml:space="preserve"> two members appointed by the Chairman of the House Ways and Means Committee.  Individuals appointed to the PEBA board must possess certain qualifications.  Members of the PEBA board serve for terms of two years and until their successors are appointed and qualify.  Terms commence on July first of even numbered years.  The PEBA board appoints the Executive Director.  The laws of the State and the policies and procedures specified by the State for State agencies are applicable to all activities of PEBA.</w:t>
      </w:r>
      <w:r>
        <w:rPr>
          <w:rFonts w:ascii="Calibri" w:hAnsi="Calibri"/>
          <w:sz w:val="24"/>
          <w:szCs w:val="24"/>
        </w:rPr>
        <w:t xml:space="preserve">  By law, the State Fiscal Accountability Authority (SFFA), which consists of five elected officials, also reviews certain PEBA Board decisions in administering the State Health Plan and other post-employment benefits</w:t>
      </w:r>
      <w:r w:rsidR="00556577">
        <w:rPr>
          <w:rFonts w:ascii="Calibri" w:hAnsi="Calibri"/>
          <w:sz w:val="24"/>
          <w:szCs w:val="24"/>
        </w:rPr>
        <w:t xml:space="preserve"> (OPEB)</w:t>
      </w:r>
      <w:r>
        <w:rPr>
          <w:rFonts w:ascii="Calibri" w:hAnsi="Calibri"/>
          <w:sz w:val="24"/>
          <w:szCs w:val="24"/>
        </w:rPr>
        <w:t>.</w:t>
      </w:r>
    </w:p>
    <w:p w14:paraId="141ECABA" w14:textId="77777777" w:rsidR="00556577" w:rsidRDefault="00556577" w:rsidP="006D1F7A">
      <w:pPr>
        <w:spacing w:after="0"/>
        <w:jc w:val="both"/>
        <w:rPr>
          <w:rFonts w:ascii="Calibri" w:hAnsi="Calibri"/>
          <w:sz w:val="24"/>
          <w:szCs w:val="24"/>
        </w:rPr>
      </w:pPr>
    </w:p>
    <w:p w14:paraId="7C53F38B" w14:textId="77777777" w:rsidR="00CD07E8" w:rsidRDefault="00CD07E8" w:rsidP="006D1F7A">
      <w:pPr>
        <w:spacing w:after="0"/>
        <w:jc w:val="both"/>
        <w:rPr>
          <w:b/>
          <w:sz w:val="24"/>
          <w:szCs w:val="24"/>
          <w:u w:val="single"/>
        </w:rPr>
      </w:pPr>
      <w:r>
        <w:rPr>
          <w:b/>
          <w:sz w:val="24"/>
          <w:szCs w:val="24"/>
          <w:u w:val="single"/>
        </w:rPr>
        <w:t>Plan Descriptions</w:t>
      </w:r>
    </w:p>
    <w:p w14:paraId="3BB3219E" w14:textId="6E579315" w:rsidR="00CD07E8" w:rsidRPr="00FF4795" w:rsidRDefault="00CD07E8" w:rsidP="00A93C23">
      <w:pPr>
        <w:pStyle w:val="NoSpacing"/>
        <w:jc w:val="both"/>
        <w:rPr>
          <w:rFonts w:ascii="Calibri" w:hAnsi="Calibri"/>
          <w:sz w:val="24"/>
          <w:szCs w:val="24"/>
        </w:rPr>
      </w:pPr>
      <w:r w:rsidRPr="00FF4795">
        <w:rPr>
          <w:rFonts w:ascii="Calibri" w:hAnsi="Calibri"/>
          <w:sz w:val="24"/>
          <w:szCs w:val="24"/>
        </w:rPr>
        <w:t>The Other Post-Employment Benefits Trust Funds (OPEB Trusts)</w:t>
      </w:r>
      <w:r>
        <w:rPr>
          <w:rFonts w:ascii="Calibri" w:hAnsi="Calibri"/>
          <w:sz w:val="24"/>
          <w:szCs w:val="24"/>
        </w:rPr>
        <w:t>, collectively</w:t>
      </w:r>
      <w:r w:rsidRPr="00FF4795">
        <w:rPr>
          <w:rFonts w:ascii="Calibri" w:hAnsi="Calibri"/>
          <w:sz w:val="24"/>
          <w:szCs w:val="24"/>
        </w:rPr>
        <w:t xml:space="preserve"> </w:t>
      </w:r>
      <w:r>
        <w:rPr>
          <w:rFonts w:ascii="Calibri" w:hAnsi="Calibri"/>
          <w:sz w:val="24"/>
          <w:szCs w:val="24"/>
        </w:rPr>
        <w:t xml:space="preserve">refers to </w:t>
      </w:r>
      <w:r w:rsidRPr="00FF4795">
        <w:rPr>
          <w:rFonts w:ascii="Calibri" w:hAnsi="Calibri"/>
          <w:sz w:val="24"/>
          <w:szCs w:val="24"/>
        </w:rPr>
        <w:t>the South Carolina Retiree Health Insurance Trust Fund (</w:t>
      </w:r>
      <w:r>
        <w:rPr>
          <w:rFonts w:ascii="Calibri" w:hAnsi="Calibri"/>
          <w:sz w:val="24"/>
          <w:szCs w:val="24"/>
        </w:rPr>
        <w:t>SC</w:t>
      </w:r>
      <w:r w:rsidRPr="00FF4795">
        <w:rPr>
          <w:rFonts w:ascii="Calibri" w:hAnsi="Calibri"/>
          <w:sz w:val="24"/>
          <w:szCs w:val="24"/>
        </w:rPr>
        <w:t>RHIT</w:t>
      </w:r>
      <w:r>
        <w:rPr>
          <w:rFonts w:ascii="Calibri" w:hAnsi="Calibri"/>
          <w:sz w:val="24"/>
          <w:szCs w:val="24"/>
        </w:rPr>
        <w:t>F</w:t>
      </w:r>
      <w:r w:rsidRPr="00FF4795">
        <w:rPr>
          <w:rFonts w:ascii="Calibri" w:hAnsi="Calibri"/>
          <w:sz w:val="24"/>
          <w:szCs w:val="24"/>
        </w:rPr>
        <w:t>) and the South Carolina Long-Term Disability Insurance Trust Fund (</w:t>
      </w:r>
      <w:r>
        <w:rPr>
          <w:rFonts w:ascii="Calibri" w:hAnsi="Calibri"/>
          <w:sz w:val="24"/>
          <w:szCs w:val="24"/>
        </w:rPr>
        <w:t>SC</w:t>
      </w:r>
      <w:r w:rsidRPr="00FF4795">
        <w:rPr>
          <w:rFonts w:ascii="Calibri" w:hAnsi="Calibri"/>
          <w:sz w:val="24"/>
          <w:szCs w:val="24"/>
        </w:rPr>
        <w:t>LTDIT</w:t>
      </w:r>
      <w:r>
        <w:rPr>
          <w:rFonts w:ascii="Calibri" w:hAnsi="Calibri"/>
          <w:sz w:val="24"/>
          <w:szCs w:val="24"/>
        </w:rPr>
        <w:t>F</w:t>
      </w:r>
      <w:r w:rsidRPr="00FF4795">
        <w:rPr>
          <w:rFonts w:ascii="Calibri" w:hAnsi="Calibri"/>
          <w:sz w:val="24"/>
          <w:szCs w:val="24"/>
        </w:rPr>
        <w:t>), were established by the State of South Carolina as Ac</w:t>
      </w:r>
      <w:r w:rsidR="00DF1998">
        <w:rPr>
          <w:rFonts w:ascii="Calibri" w:hAnsi="Calibri"/>
          <w:sz w:val="24"/>
          <w:szCs w:val="24"/>
        </w:rPr>
        <w:t>t 195, which became effective in</w:t>
      </w:r>
      <w:r w:rsidRPr="00FF4795">
        <w:rPr>
          <w:rFonts w:ascii="Calibri" w:hAnsi="Calibri"/>
          <w:sz w:val="24"/>
          <w:szCs w:val="24"/>
        </w:rPr>
        <w:t xml:space="preserve"> May 2008.  The </w:t>
      </w:r>
      <w:r>
        <w:rPr>
          <w:rFonts w:ascii="Calibri" w:hAnsi="Calibri"/>
          <w:sz w:val="24"/>
          <w:szCs w:val="24"/>
        </w:rPr>
        <w:t>SC</w:t>
      </w:r>
      <w:r w:rsidRPr="00FF4795">
        <w:rPr>
          <w:rFonts w:ascii="Calibri" w:hAnsi="Calibri"/>
          <w:sz w:val="24"/>
          <w:szCs w:val="24"/>
        </w:rPr>
        <w:t>RHIT</w:t>
      </w:r>
      <w:r>
        <w:rPr>
          <w:rFonts w:ascii="Calibri" w:hAnsi="Calibri"/>
          <w:sz w:val="24"/>
          <w:szCs w:val="24"/>
        </w:rPr>
        <w:t>F</w:t>
      </w:r>
      <w:r w:rsidRPr="00FF4795">
        <w:rPr>
          <w:rFonts w:ascii="Calibri" w:hAnsi="Calibri"/>
          <w:sz w:val="24"/>
          <w:szCs w:val="24"/>
        </w:rPr>
        <w:t xml:space="preserve"> was created to fund and account for the employer costs of the State’s retiree health and dental plans.  The </w:t>
      </w:r>
      <w:r>
        <w:rPr>
          <w:rFonts w:ascii="Calibri" w:hAnsi="Calibri"/>
          <w:sz w:val="24"/>
          <w:szCs w:val="24"/>
        </w:rPr>
        <w:t>SC</w:t>
      </w:r>
      <w:r w:rsidRPr="00FF4795">
        <w:rPr>
          <w:rFonts w:ascii="Calibri" w:hAnsi="Calibri"/>
          <w:sz w:val="24"/>
          <w:szCs w:val="24"/>
        </w:rPr>
        <w:t>LTDIT</w:t>
      </w:r>
      <w:r>
        <w:rPr>
          <w:rFonts w:ascii="Calibri" w:hAnsi="Calibri"/>
          <w:sz w:val="24"/>
          <w:szCs w:val="24"/>
        </w:rPr>
        <w:t>F</w:t>
      </w:r>
      <w:r w:rsidRPr="00FF4795">
        <w:rPr>
          <w:rFonts w:ascii="Calibri" w:hAnsi="Calibri"/>
          <w:sz w:val="24"/>
          <w:szCs w:val="24"/>
        </w:rPr>
        <w:t xml:space="preserve"> was created to fund and account for the employer costs of the State’s Basic Long-Term Disability Income Benefit Plan.</w:t>
      </w:r>
    </w:p>
    <w:p w14:paraId="621D89A1" w14:textId="77777777" w:rsidR="00CD07E8" w:rsidRDefault="00CD07E8" w:rsidP="00A93C23">
      <w:pPr>
        <w:pStyle w:val="NoSpacing"/>
        <w:jc w:val="both"/>
        <w:rPr>
          <w:rFonts w:ascii="Calibri" w:hAnsi="Calibri"/>
          <w:sz w:val="24"/>
          <w:szCs w:val="24"/>
        </w:rPr>
      </w:pPr>
    </w:p>
    <w:p w14:paraId="2235E086" w14:textId="77777777" w:rsidR="00CD07E8" w:rsidRPr="00FF4795" w:rsidRDefault="00CD07E8" w:rsidP="00A93C23">
      <w:pPr>
        <w:pStyle w:val="NoSpacing"/>
        <w:jc w:val="both"/>
        <w:rPr>
          <w:rFonts w:ascii="Calibri" w:hAnsi="Calibri"/>
          <w:sz w:val="24"/>
          <w:szCs w:val="24"/>
        </w:rPr>
      </w:pPr>
      <w:r w:rsidRPr="00FF4795">
        <w:rPr>
          <w:rFonts w:ascii="Calibri" w:hAnsi="Calibri"/>
          <w:sz w:val="24"/>
          <w:szCs w:val="24"/>
        </w:rPr>
        <w:t>In accordance with Act 195, the OPEB Trus</w:t>
      </w:r>
      <w:r w:rsidR="007D3C4A">
        <w:rPr>
          <w:rFonts w:ascii="Calibri" w:hAnsi="Calibri"/>
          <w:sz w:val="24"/>
          <w:szCs w:val="24"/>
        </w:rPr>
        <w:t xml:space="preserve">ts are administered by the PEBA – </w:t>
      </w:r>
      <w:r w:rsidRPr="00FF4795">
        <w:rPr>
          <w:rFonts w:ascii="Calibri" w:hAnsi="Calibri"/>
          <w:sz w:val="24"/>
          <w:szCs w:val="24"/>
        </w:rPr>
        <w:t>Insurance Benefits and the State Treasurer is the custodian of the funds held in trust.  The Board of Directors of PEBA has been designated as the Trustee.</w:t>
      </w:r>
    </w:p>
    <w:p w14:paraId="07F331E6" w14:textId="77777777" w:rsidR="00CD07E8" w:rsidRDefault="00CD07E8" w:rsidP="00A93C23">
      <w:pPr>
        <w:pStyle w:val="NoSpacing"/>
        <w:jc w:val="both"/>
        <w:rPr>
          <w:rFonts w:ascii="Calibri" w:hAnsi="Calibri"/>
          <w:sz w:val="24"/>
          <w:szCs w:val="24"/>
        </w:rPr>
      </w:pPr>
    </w:p>
    <w:p w14:paraId="17CE0765" w14:textId="77777777" w:rsidR="00CD07E8" w:rsidRDefault="00CD07E8" w:rsidP="00A93C23">
      <w:pPr>
        <w:pStyle w:val="NoSpacing"/>
        <w:jc w:val="both"/>
        <w:rPr>
          <w:rFonts w:ascii="Calibri" w:hAnsi="Calibri"/>
          <w:sz w:val="24"/>
          <w:szCs w:val="24"/>
        </w:rPr>
      </w:pPr>
      <w:r w:rsidRPr="00FF4795">
        <w:rPr>
          <w:rFonts w:ascii="Calibri" w:hAnsi="Calibri"/>
          <w:sz w:val="24"/>
          <w:szCs w:val="24"/>
        </w:rPr>
        <w:t xml:space="preserve">The OPEB Trusts are cost-sharing multiple-employer defined benefit </w:t>
      </w:r>
      <w:r w:rsidR="00DF1998">
        <w:rPr>
          <w:rFonts w:ascii="Calibri" w:hAnsi="Calibri"/>
          <w:sz w:val="24"/>
          <w:szCs w:val="24"/>
        </w:rPr>
        <w:t xml:space="preserve">OPEB </w:t>
      </w:r>
      <w:r w:rsidRPr="00FF4795">
        <w:rPr>
          <w:rFonts w:ascii="Calibri" w:hAnsi="Calibri"/>
          <w:sz w:val="24"/>
          <w:szCs w:val="24"/>
        </w:rPr>
        <w:t>plans.  Article 5 of the State Code of Laws defines the two plans and authorizes the Trustee to at any time adjust the plans, including its benefits and contributions, as necessary to insure the fiscal stability of the plans.</w:t>
      </w:r>
      <w:r w:rsidR="00982928">
        <w:rPr>
          <w:rFonts w:ascii="Calibri" w:hAnsi="Calibri"/>
          <w:sz w:val="24"/>
          <w:szCs w:val="24"/>
        </w:rPr>
        <w:t xml:space="preserve">  </w:t>
      </w:r>
      <w:r>
        <w:rPr>
          <w:rFonts w:ascii="Calibri" w:hAnsi="Calibri"/>
          <w:sz w:val="24"/>
          <w:szCs w:val="24"/>
        </w:rPr>
        <w:t xml:space="preserve">In accordance with the South Carolina Code of Laws and the annual Appropriations Act, the State provides post-employment health and dental and long-term disability benefits to retired State and school district employees and their covered dependents.  </w:t>
      </w:r>
    </w:p>
    <w:p w14:paraId="55FE6211" w14:textId="77777777" w:rsidR="00A93C23" w:rsidRDefault="00A93C23" w:rsidP="00A93C23">
      <w:pPr>
        <w:pStyle w:val="NoSpacing"/>
        <w:jc w:val="both"/>
        <w:rPr>
          <w:rFonts w:ascii="Calibri" w:hAnsi="Calibri"/>
          <w:sz w:val="24"/>
          <w:szCs w:val="24"/>
        </w:rPr>
      </w:pPr>
    </w:p>
    <w:p w14:paraId="1B04FEBE" w14:textId="77777777" w:rsidR="00CD07E8" w:rsidRDefault="00CD07E8" w:rsidP="00CD07E8">
      <w:pPr>
        <w:spacing w:after="0"/>
        <w:jc w:val="both"/>
        <w:rPr>
          <w:b/>
          <w:sz w:val="24"/>
          <w:szCs w:val="24"/>
          <w:u w:val="single"/>
        </w:rPr>
      </w:pPr>
      <w:r>
        <w:rPr>
          <w:b/>
          <w:sz w:val="24"/>
          <w:szCs w:val="24"/>
          <w:u w:val="single"/>
        </w:rPr>
        <w:lastRenderedPageBreak/>
        <w:t>Benefits</w:t>
      </w:r>
    </w:p>
    <w:p w14:paraId="29AD8D53" w14:textId="77777777" w:rsidR="00CD07E8" w:rsidRPr="00FF4795" w:rsidRDefault="00CD07E8" w:rsidP="00CD07E8">
      <w:pPr>
        <w:pStyle w:val="NoSpacing"/>
        <w:jc w:val="both"/>
        <w:rPr>
          <w:rFonts w:ascii="Calibri" w:hAnsi="Calibri"/>
          <w:sz w:val="24"/>
          <w:szCs w:val="24"/>
        </w:rPr>
      </w:pPr>
      <w:r w:rsidRPr="00FF4795">
        <w:rPr>
          <w:rFonts w:ascii="Calibri" w:hAnsi="Calibri"/>
          <w:sz w:val="24"/>
          <w:szCs w:val="24"/>
        </w:rPr>
        <w:t xml:space="preserve">The </w:t>
      </w:r>
      <w:r>
        <w:rPr>
          <w:rFonts w:ascii="Calibri" w:hAnsi="Calibri"/>
          <w:sz w:val="24"/>
          <w:szCs w:val="24"/>
        </w:rPr>
        <w:t>SC</w:t>
      </w:r>
      <w:r w:rsidRPr="00FF4795">
        <w:rPr>
          <w:rFonts w:ascii="Calibri" w:hAnsi="Calibri"/>
          <w:sz w:val="24"/>
          <w:szCs w:val="24"/>
        </w:rPr>
        <w:t>RHIT</w:t>
      </w:r>
      <w:r>
        <w:rPr>
          <w:rFonts w:ascii="Calibri" w:hAnsi="Calibri"/>
          <w:sz w:val="24"/>
          <w:szCs w:val="24"/>
        </w:rPr>
        <w:t>F</w:t>
      </w:r>
      <w:r w:rsidRPr="00FF4795">
        <w:rPr>
          <w:rFonts w:ascii="Calibri" w:hAnsi="Calibri"/>
          <w:sz w:val="24"/>
          <w:szCs w:val="24"/>
        </w:rPr>
        <w:t xml:space="preserve"> is a healthcare plan that covers retired employees of the State of South Carolina, including all agencies</w:t>
      </w:r>
      <w:r w:rsidR="00982928">
        <w:rPr>
          <w:rFonts w:ascii="Calibri" w:hAnsi="Calibri"/>
          <w:sz w:val="24"/>
          <w:szCs w:val="24"/>
        </w:rPr>
        <w:t>,</w:t>
      </w:r>
      <w:r w:rsidRPr="00FF4795">
        <w:rPr>
          <w:rFonts w:ascii="Calibri" w:hAnsi="Calibri"/>
          <w:sz w:val="24"/>
          <w:szCs w:val="24"/>
        </w:rPr>
        <w:t xml:space="preserve"> and </w:t>
      </w:r>
      <w:proofErr w:type="gramStart"/>
      <w:r w:rsidRPr="00FF4795">
        <w:rPr>
          <w:rFonts w:ascii="Calibri" w:hAnsi="Calibri"/>
          <w:sz w:val="24"/>
          <w:szCs w:val="24"/>
        </w:rPr>
        <w:t>public school</w:t>
      </w:r>
      <w:proofErr w:type="gramEnd"/>
      <w:r w:rsidRPr="00FF4795">
        <w:rPr>
          <w:rFonts w:ascii="Calibri" w:hAnsi="Calibri"/>
          <w:sz w:val="24"/>
          <w:szCs w:val="24"/>
        </w:rPr>
        <w:t xml:space="preserve"> districts.  The </w:t>
      </w:r>
      <w:r>
        <w:rPr>
          <w:rFonts w:ascii="Calibri" w:hAnsi="Calibri"/>
          <w:sz w:val="24"/>
          <w:szCs w:val="24"/>
        </w:rPr>
        <w:t>SC</w:t>
      </w:r>
      <w:r w:rsidRPr="00FF4795">
        <w:rPr>
          <w:rFonts w:ascii="Calibri" w:hAnsi="Calibri"/>
          <w:sz w:val="24"/>
          <w:szCs w:val="24"/>
        </w:rPr>
        <w:t>RHIT</w:t>
      </w:r>
      <w:r>
        <w:rPr>
          <w:rFonts w:ascii="Calibri" w:hAnsi="Calibri"/>
          <w:sz w:val="24"/>
          <w:szCs w:val="24"/>
        </w:rPr>
        <w:t>F</w:t>
      </w:r>
      <w:r w:rsidRPr="00FF4795">
        <w:rPr>
          <w:rFonts w:ascii="Calibri" w:hAnsi="Calibri"/>
          <w:sz w:val="24"/>
          <w:szCs w:val="24"/>
        </w:rPr>
        <w:t xml:space="preserve"> provides health and dental insurance benefits to eligible retirees.</w:t>
      </w:r>
      <w:r>
        <w:rPr>
          <w:rFonts w:ascii="Calibri" w:hAnsi="Calibri"/>
          <w:sz w:val="24"/>
          <w:szCs w:val="24"/>
        </w:rPr>
        <w:t xml:space="preserve">  Generally, retirees are eligible for the health and dental benefits if they have established at least ten years of retirement service credit.  For new hires beginning employment May 2, 2008 and after, retirees are eligible for benefits if they have established 25 years of service for 100% employer funding and 15-24 years of service for 50% employer funding.</w:t>
      </w:r>
    </w:p>
    <w:p w14:paraId="02137BE1" w14:textId="77777777" w:rsidR="00CD07E8" w:rsidRPr="00D2418F" w:rsidRDefault="00CD07E8" w:rsidP="00CD07E8">
      <w:pPr>
        <w:pStyle w:val="NoSpacing"/>
        <w:ind w:left="864"/>
        <w:jc w:val="both"/>
        <w:rPr>
          <w:rFonts w:ascii="Calibri" w:hAnsi="Calibri"/>
        </w:rPr>
      </w:pPr>
    </w:p>
    <w:p w14:paraId="4084083B" w14:textId="77777777" w:rsidR="00CD07E8" w:rsidRDefault="00CD07E8" w:rsidP="00CD07E8">
      <w:pPr>
        <w:spacing w:after="0"/>
        <w:jc w:val="both"/>
        <w:rPr>
          <w:rFonts w:ascii="Calibri" w:hAnsi="Calibri"/>
          <w:sz w:val="24"/>
          <w:szCs w:val="24"/>
        </w:rPr>
      </w:pPr>
      <w:r w:rsidRPr="00FF4795">
        <w:rPr>
          <w:rFonts w:ascii="Calibri" w:hAnsi="Calibri"/>
          <w:sz w:val="24"/>
          <w:szCs w:val="24"/>
        </w:rPr>
        <w:t xml:space="preserve">The </w:t>
      </w:r>
      <w:r>
        <w:rPr>
          <w:rFonts w:ascii="Calibri" w:hAnsi="Calibri"/>
          <w:sz w:val="24"/>
          <w:szCs w:val="24"/>
        </w:rPr>
        <w:t>SC</w:t>
      </w:r>
      <w:r w:rsidRPr="00FF4795">
        <w:rPr>
          <w:rFonts w:ascii="Calibri" w:hAnsi="Calibri"/>
          <w:sz w:val="24"/>
          <w:szCs w:val="24"/>
        </w:rPr>
        <w:t>LTDIT</w:t>
      </w:r>
      <w:r>
        <w:rPr>
          <w:rFonts w:ascii="Calibri" w:hAnsi="Calibri"/>
          <w:sz w:val="24"/>
          <w:szCs w:val="24"/>
        </w:rPr>
        <w:t>F</w:t>
      </w:r>
      <w:r w:rsidRPr="00FF4795">
        <w:rPr>
          <w:rFonts w:ascii="Calibri" w:hAnsi="Calibri"/>
          <w:sz w:val="24"/>
          <w:szCs w:val="24"/>
        </w:rPr>
        <w:t xml:space="preserve"> is a long-term disability plan that covers employees of the State of South Carolina, including all agencies and </w:t>
      </w:r>
      <w:proofErr w:type="gramStart"/>
      <w:r w:rsidRPr="00FF4795">
        <w:rPr>
          <w:rFonts w:ascii="Calibri" w:hAnsi="Calibri"/>
          <w:sz w:val="24"/>
          <w:szCs w:val="24"/>
        </w:rPr>
        <w:t>public school</w:t>
      </w:r>
      <w:proofErr w:type="gramEnd"/>
      <w:r w:rsidRPr="00FF4795">
        <w:rPr>
          <w:rFonts w:ascii="Calibri" w:hAnsi="Calibri"/>
          <w:sz w:val="24"/>
          <w:szCs w:val="24"/>
        </w:rPr>
        <w:t xml:space="preserve"> districts and all participating local governmental entities.  The </w:t>
      </w:r>
      <w:r>
        <w:rPr>
          <w:rFonts w:ascii="Calibri" w:hAnsi="Calibri"/>
          <w:sz w:val="24"/>
          <w:szCs w:val="24"/>
        </w:rPr>
        <w:t>SC</w:t>
      </w:r>
      <w:r w:rsidRPr="00FF4795">
        <w:rPr>
          <w:rFonts w:ascii="Calibri" w:hAnsi="Calibri"/>
          <w:sz w:val="24"/>
          <w:szCs w:val="24"/>
        </w:rPr>
        <w:t>LTDIT</w:t>
      </w:r>
      <w:r>
        <w:rPr>
          <w:rFonts w:ascii="Calibri" w:hAnsi="Calibri"/>
          <w:sz w:val="24"/>
          <w:szCs w:val="24"/>
        </w:rPr>
        <w:t>F</w:t>
      </w:r>
      <w:r w:rsidRPr="00FF4795">
        <w:rPr>
          <w:rFonts w:ascii="Calibri" w:hAnsi="Calibri"/>
          <w:sz w:val="24"/>
          <w:szCs w:val="24"/>
        </w:rPr>
        <w:t xml:space="preserve"> provides disability payments to eligible employees</w:t>
      </w:r>
      <w:r>
        <w:rPr>
          <w:rFonts w:ascii="Calibri" w:hAnsi="Calibri"/>
          <w:sz w:val="24"/>
          <w:szCs w:val="24"/>
        </w:rPr>
        <w:t xml:space="preserve"> that have been approved for disability</w:t>
      </w:r>
      <w:r w:rsidRPr="00FF4795">
        <w:rPr>
          <w:rFonts w:ascii="Calibri" w:hAnsi="Calibri"/>
          <w:sz w:val="24"/>
          <w:szCs w:val="24"/>
        </w:rPr>
        <w:t>.</w:t>
      </w:r>
    </w:p>
    <w:p w14:paraId="243CA0B2" w14:textId="77777777" w:rsidR="003B5773" w:rsidRPr="00D2418F" w:rsidRDefault="003B5773" w:rsidP="00D2418F">
      <w:pPr>
        <w:spacing w:after="0"/>
        <w:rPr>
          <w:rFonts w:ascii="Calibri" w:hAnsi="Calibri"/>
        </w:rPr>
      </w:pPr>
    </w:p>
    <w:p w14:paraId="44ED8E4D" w14:textId="77777777" w:rsidR="003B5773" w:rsidRDefault="003B5773" w:rsidP="00CD07E8">
      <w:pPr>
        <w:spacing w:after="0"/>
        <w:jc w:val="both"/>
        <w:rPr>
          <w:rFonts w:ascii="Calibri" w:hAnsi="Calibri"/>
          <w:b/>
          <w:sz w:val="24"/>
          <w:szCs w:val="24"/>
          <w:u w:val="single"/>
        </w:rPr>
      </w:pPr>
      <w:r>
        <w:rPr>
          <w:rFonts w:ascii="Calibri" w:hAnsi="Calibri"/>
          <w:b/>
          <w:sz w:val="24"/>
          <w:szCs w:val="24"/>
          <w:u w:val="single"/>
        </w:rPr>
        <w:t>Contributions and Funding Policies</w:t>
      </w:r>
    </w:p>
    <w:p w14:paraId="6878FE4E" w14:textId="77777777" w:rsidR="005F17A0" w:rsidRDefault="0059318D" w:rsidP="0059318D">
      <w:pPr>
        <w:pStyle w:val="NoSpacing"/>
        <w:jc w:val="both"/>
        <w:rPr>
          <w:rFonts w:ascii="Calibri" w:hAnsi="Calibri"/>
          <w:sz w:val="24"/>
          <w:szCs w:val="24"/>
        </w:rPr>
      </w:pPr>
      <w:r>
        <w:rPr>
          <w:rFonts w:ascii="Calibri" w:hAnsi="Calibri"/>
          <w:sz w:val="24"/>
          <w:szCs w:val="24"/>
        </w:rPr>
        <w:t xml:space="preserve">Section 1-11-710 of the South Carolina Code of Laws of </w:t>
      </w:r>
      <w:r w:rsidR="00DF1998">
        <w:rPr>
          <w:rFonts w:ascii="Calibri" w:hAnsi="Calibri"/>
          <w:sz w:val="24"/>
          <w:szCs w:val="24"/>
        </w:rPr>
        <w:t>1976, as amended, requires the</w:t>
      </w:r>
      <w:r>
        <w:rPr>
          <w:rFonts w:ascii="Calibri" w:hAnsi="Calibri"/>
          <w:sz w:val="24"/>
          <w:szCs w:val="24"/>
        </w:rPr>
        <w:t xml:space="preserve"> postemployment and long-term disability benefits to be funded through </w:t>
      </w:r>
      <w:r w:rsidR="00C72F3B">
        <w:rPr>
          <w:rFonts w:ascii="Calibri" w:hAnsi="Calibri"/>
          <w:sz w:val="24"/>
          <w:szCs w:val="24"/>
        </w:rPr>
        <w:t>non-</w:t>
      </w:r>
      <w:proofErr w:type="spellStart"/>
      <w:r w:rsidR="00C72F3B">
        <w:rPr>
          <w:rFonts w:ascii="Calibri" w:hAnsi="Calibri"/>
          <w:sz w:val="24"/>
          <w:szCs w:val="24"/>
        </w:rPr>
        <w:t>employer</w:t>
      </w:r>
      <w:proofErr w:type="spellEnd"/>
      <w:r w:rsidR="00C72F3B">
        <w:rPr>
          <w:rFonts w:ascii="Calibri" w:hAnsi="Calibri"/>
          <w:sz w:val="24"/>
          <w:szCs w:val="24"/>
        </w:rPr>
        <w:t xml:space="preserve"> and employer contributions</w:t>
      </w:r>
      <w:r>
        <w:rPr>
          <w:rFonts w:ascii="Calibri" w:hAnsi="Calibri"/>
          <w:sz w:val="24"/>
          <w:szCs w:val="24"/>
        </w:rPr>
        <w:t xml:space="preserve"> for active employees </w:t>
      </w:r>
      <w:r w:rsidR="00C72F3B">
        <w:rPr>
          <w:rFonts w:ascii="Calibri" w:hAnsi="Calibri"/>
          <w:sz w:val="24"/>
          <w:szCs w:val="24"/>
        </w:rPr>
        <w:t xml:space="preserve">and retirees </w:t>
      </w:r>
      <w:r>
        <w:rPr>
          <w:rFonts w:ascii="Calibri" w:hAnsi="Calibri"/>
          <w:sz w:val="24"/>
          <w:szCs w:val="24"/>
        </w:rPr>
        <w:t xml:space="preserve">to the </w:t>
      </w:r>
      <w:r w:rsidR="002B7D61">
        <w:rPr>
          <w:rFonts w:ascii="Calibri" w:hAnsi="Calibri"/>
          <w:sz w:val="24"/>
          <w:szCs w:val="24"/>
        </w:rPr>
        <w:t>PEBA – Insurance Benefits.    N</w:t>
      </w:r>
      <w:r w:rsidR="00DF1998">
        <w:rPr>
          <w:rFonts w:ascii="Calibri" w:hAnsi="Calibri"/>
          <w:sz w:val="24"/>
          <w:szCs w:val="24"/>
        </w:rPr>
        <w:t>on-employer contributions</w:t>
      </w:r>
      <w:r w:rsidR="002B7D61">
        <w:rPr>
          <w:rFonts w:ascii="Calibri" w:hAnsi="Calibri"/>
          <w:sz w:val="24"/>
          <w:szCs w:val="24"/>
        </w:rPr>
        <w:t xml:space="preserve"> consist </w:t>
      </w:r>
      <w:r w:rsidR="005F17A0">
        <w:rPr>
          <w:rFonts w:ascii="Calibri" w:hAnsi="Calibri"/>
          <w:sz w:val="24"/>
          <w:szCs w:val="24"/>
        </w:rPr>
        <w:t>of an</w:t>
      </w:r>
      <w:r w:rsidR="00C72F3B">
        <w:rPr>
          <w:rFonts w:ascii="Calibri" w:hAnsi="Calibri"/>
          <w:sz w:val="24"/>
          <w:szCs w:val="24"/>
        </w:rPr>
        <w:t xml:space="preserve"> annual appropriation by the General Assembly and the statutorily required transfer from PEBA – Insurance Benefits reserves</w:t>
      </w:r>
      <w:r>
        <w:rPr>
          <w:rFonts w:ascii="Calibri" w:hAnsi="Calibri"/>
          <w:sz w:val="24"/>
          <w:szCs w:val="24"/>
        </w:rPr>
        <w:t>.</w:t>
      </w:r>
    </w:p>
    <w:p w14:paraId="04C0EA7B" w14:textId="77777777" w:rsidR="005F17A0" w:rsidRPr="00D2418F" w:rsidRDefault="005F17A0" w:rsidP="0059318D">
      <w:pPr>
        <w:pStyle w:val="NoSpacing"/>
        <w:jc w:val="both"/>
        <w:rPr>
          <w:rFonts w:ascii="Calibri" w:hAnsi="Calibri"/>
        </w:rPr>
      </w:pPr>
    </w:p>
    <w:p w14:paraId="77F0129F" w14:textId="49CEF745" w:rsidR="0059318D" w:rsidRDefault="005F17A0" w:rsidP="0059318D">
      <w:pPr>
        <w:pStyle w:val="NoSpacing"/>
        <w:jc w:val="both"/>
        <w:rPr>
          <w:rFonts w:ascii="Calibri" w:hAnsi="Calibri"/>
          <w:sz w:val="24"/>
          <w:szCs w:val="24"/>
        </w:rPr>
      </w:pPr>
      <w:r>
        <w:rPr>
          <w:rFonts w:ascii="Calibri" w:hAnsi="Calibri"/>
          <w:sz w:val="24"/>
          <w:szCs w:val="24"/>
        </w:rPr>
        <w:t>The SCRHITF is funded through</w:t>
      </w:r>
      <w:r w:rsidR="0059318D">
        <w:rPr>
          <w:rFonts w:ascii="Calibri" w:hAnsi="Calibri"/>
          <w:sz w:val="24"/>
          <w:szCs w:val="24"/>
        </w:rPr>
        <w:t xml:space="preserve"> participating employers</w:t>
      </w:r>
      <w:r>
        <w:rPr>
          <w:rFonts w:ascii="Calibri" w:hAnsi="Calibri"/>
          <w:sz w:val="24"/>
          <w:szCs w:val="24"/>
        </w:rPr>
        <w:t xml:space="preserve"> that </w:t>
      </w:r>
      <w:r w:rsidR="0059318D">
        <w:rPr>
          <w:rFonts w:ascii="Calibri" w:hAnsi="Calibri"/>
          <w:sz w:val="24"/>
          <w:szCs w:val="24"/>
        </w:rPr>
        <w:t>are mandated by State statute to contribute at a rate assessed each year by the Department of Administration Executive Budget Office</w:t>
      </w:r>
      <w:r>
        <w:rPr>
          <w:rFonts w:ascii="Calibri" w:hAnsi="Calibri"/>
          <w:sz w:val="24"/>
          <w:szCs w:val="24"/>
        </w:rPr>
        <w:t xml:space="preserve"> on active employee covered payroll</w:t>
      </w:r>
      <w:r w:rsidR="0059318D">
        <w:rPr>
          <w:rFonts w:ascii="Calibri" w:hAnsi="Calibri"/>
          <w:sz w:val="24"/>
          <w:szCs w:val="24"/>
        </w:rPr>
        <w:t>.  The covered payroll surcharge for the year ended June 30, 20</w:t>
      </w:r>
      <w:r w:rsidR="00707C20">
        <w:rPr>
          <w:rFonts w:ascii="Calibri" w:hAnsi="Calibri"/>
          <w:sz w:val="24"/>
          <w:szCs w:val="24"/>
        </w:rPr>
        <w:t>20</w:t>
      </w:r>
      <w:r w:rsidR="0059318D">
        <w:rPr>
          <w:rFonts w:ascii="Calibri" w:hAnsi="Calibri"/>
          <w:sz w:val="24"/>
          <w:szCs w:val="24"/>
        </w:rPr>
        <w:t xml:space="preserve"> was </w:t>
      </w:r>
      <w:r w:rsidR="00255DF1">
        <w:rPr>
          <w:rFonts w:ascii="Calibri" w:hAnsi="Calibri"/>
          <w:sz w:val="24"/>
          <w:szCs w:val="24"/>
        </w:rPr>
        <w:t>6</w:t>
      </w:r>
      <w:r w:rsidR="009C4CCA">
        <w:rPr>
          <w:rFonts w:ascii="Calibri" w:hAnsi="Calibri"/>
          <w:sz w:val="24"/>
          <w:szCs w:val="24"/>
        </w:rPr>
        <w:t>.</w:t>
      </w:r>
      <w:r w:rsidR="00707C20">
        <w:rPr>
          <w:rFonts w:ascii="Calibri" w:hAnsi="Calibri"/>
          <w:sz w:val="24"/>
          <w:szCs w:val="24"/>
        </w:rPr>
        <w:t>2</w:t>
      </w:r>
      <w:r w:rsidR="009C4CCA">
        <w:rPr>
          <w:rFonts w:ascii="Calibri" w:hAnsi="Calibri"/>
          <w:sz w:val="24"/>
          <w:szCs w:val="24"/>
        </w:rPr>
        <w:t>5</w:t>
      </w:r>
      <w:r w:rsidR="0059318D">
        <w:rPr>
          <w:rFonts w:ascii="Calibri" w:hAnsi="Calibri"/>
          <w:sz w:val="24"/>
          <w:szCs w:val="24"/>
        </w:rPr>
        <w:t xml:space="preserve"> percent.  </w:t>
      </w:r>
      <w:r w:rsidR="0059318D" w:rsidRPr="00FF4795">
        <w:rPr>
          <w:rFonts w:ascii="Calibri" w:hAnsi="Calibri"/>
          <w:sz w:val="24"/>
          <w:szCs w:val="24"/>
        </w:rPr>
        <w:t xml:space="preserve">The South Carolina Retirement System collects the monthly </w:t>
      </w:r>
      <w:r w:rsidR="00C72F3B">
        <w:rPr>
          <w:rFonts w:ascii="Calibri" w:hAnsi="Calibri"/>
          <w:sz w:val="24"/>
          <w:szCs w:val="24"/>
        </w:rPr>
        <w:t xml:space="preserve">covered payroll </w:t>
      </w:r>
      <w:r w:rsidR="0059318D" w:rsidRPr="00FF4795">
        <w:rPr>
          <w:rFonts w:ascii="Calibri" w:hAnsi="Calibri"/>
          <w:sz w:val="24"/>
          <w:szCs w:val="24"/>
        </w:rPr>
        <w:t xml:space="preserve">surcharge for </w:t>
      </w:r>
      <w:r w:rsidR="0059318D">
        <w:rPr>
          <w:rFonts w:ascii="Calibri" w:hAnsi="Calibri"/>
          <w:sz w:val="24"/>
          <w:szCs w:val="24"/>
        </w:rPr>
        <w:t xml:space="preserve">all </w:t>
      </w:r>
      <w:r w:rsidR="00982928">
        <w:rPr>
          <w:rFonts w:ascii="Calibri" w:hAnsi="Calibri"/>
          <w:sz w:val="24"/>
          <w:szCs w:val="24"/>
        </w:rPr>
        <w:t xml:space="preserve">participating </w:t>
      </w:r>
      <w:r w:rsidR="0059318D">
        <w:rPr>
          <w:rFonts w:ascii="Calibri" w:hAnsi="Calibri"/>
          <w:sz w:val="24"/>
          <w:szCs w:val="24"/>
        </w:rPr>
        <w:t xml:space="preserve">employers </w:t>
      </w:r>
      <w:r w:rsidR="0059318D" w:rsidRPr="00FF4795">
        <w:rPr>
          <w:rFonts w:ascii="Calibri" w:hAnsi="Calibri"/>
          <w:sz w:val="24"/>
          <w:szCs w:val="24"/>
        </w:rPr>
        <w:t xml:space="preserve">and remits it directly to the </w:t>
      </w:r>
      <w:r w:rsidR="0059318D">
        <w:rPr>
          <w:rFonts w:ascii="Calibri" w:hAnsi="Calibri"/>
          <w:sz w:val="24"/>
          <w:szCs w:val="24"/>
        </w:rPr>
        <w:t>SC</w:t>
      </w:r>
      <w:r w:rsidR="0059318D" w:rsidRPr="00FF4795">
        <w:rPr>
          <w:rFonts w:ascii="Calibri" w:hAnsi="Calibri"/>
          <w:sz w:val="24"/>
          <w:szCs w:val="24"/>
        </w:rPr>
        <w:t>RHIT</w:t>
      </w:r>
      <w:r w:rsidR="0059318D">
        <w:rPr>
          <w:rFonts w:ascii="Calibri" w:hAnsi="Calibri"/>
          <w:sz w:val="24"/>
          <w:szCs w:val="24"/>
        </w:rPr>
        <w:t>F</w:t>
      </w:r>
      <w:r w:rsidR="0059318D" w:rsidRPr="00FF4795">
        <w:rPr>
          <w:rFonts w:ascii="Calibri" w:hAnsi="Calibri"/>
          <w:sz w:val="24"/>
          <w:szCs w:val="24"/>
        </w:rPr>
        <w:t xml:space="preserve">.  </w:t>
      </w:r>
      <w:r w:rsidR="0059318D">
        <w:rPr>
          <w:rFonts w:ascii="Calibri" w:hAnsi="Calibri"/>
          <w:sz w:val="24"/>
          <w:szCs w:val="24"/>
        </w:rPr>
        <w:t>Other sources of funding for the SCR</w:t>
      </w:r>
      <w:r>
        <w:rPr>
          <w:rFonts w:ascii="Calibri" w:hAnsi="Calibri"/>
          <w:sz w:val="24"/>
          <w:szCs w:val="24"/>
        </w:rPr>
        <w:t xml:space="preserve">HITF </w:t>
      </w:r>
      <w:r w:rsidR="00AB219E">
        <w:rPr>
          <w:rFonts w:ascii="Calibri" w:hAnsi="Calibri"/>
          <w:sz w:val="24"/>
          <w:szCs w:val="24"/>
        </w:rPr>
        <w:t xml:space="preserve">also include the implicit subsidy, or age-related subsidy inherent in the healthcare premiums structure.  </w:t>
      </w:r>
      <w:r w:rsidR="00A502D3">
        <w:rPr>
          <w:rFonts w:ascii="Calibri" w:hAnsi="Calibri"/>
          <w:sz w:val="24"/>
          <w:szCs w:val="24"/>
        </w:rPr>
        <w:t xml:space="preserve">The implicit subsidy represents a portion of the health care expenditures paid on behalf of the employer’s active employees.  For purposes of GASB Statement No. 75, this expenditure on behalf of the active employee is reclassified as a retiree health care expenditure so that the employer’s contributions towards the plan reflect the underlying age-adjusted, retiree benefit costs.  </w:t>
      </w:r>
      <w:r w:rsidR="00D2418F">
        <w:rPr>
          <w:rFonts w:ascii="Calibri" w:hAnsi="Calibri"/>
          <w:sz w:val="24"/>
          <w:szCs w:val="24"/>
        </w:rPr>
        <w:t>Non-employer contributions include the mandatory transfer of accumulated PEBA – Insurance Benefits’ reserves</w:t>
      </w:r>
      <w:r w:rsidR="00A502D3">
        <w:rPr>
          <w:rFonts w:ascii="Calibri" w:hAnsi="Calibri"/>
          <w:sz w:val="24"/>
          <w:szCs w:val="24"/>
        </w:rPr>
        <w:t xml:space="preserve"> and the annual appropriation budgeted by the General Assembly.</w:t>
      </w:r>
      <w:r w:rsidR="00D2418F">
        <w:rPr>
          <w:rFonts w:ascii="Calibri" w:hAnsi="Calibri"/>
          <w:sz w:val="24"/>
          <w:szCs w:val="24"/>
        </w:rPr>
        <w:t xml:space="preserve">  It is also funded through investment income.</w:t>
      </w:r>
    </w:p>
    <w:p w14:paraId="500768D4" w14:textId="77777777" w:rsidR="0059318D" w:rsidRPr="00D2418F" w:rsidRDefault="0059318D" w:rsidP="0059318D">
      <w:pPr>
        <w:pStyle w:val="NoSpacing"/>
        <w:jc w:val="both"/>
        <w:rPr>
          <w:rFonts w:ascii="Calibri" w:hAnsi="Calibri"/>
        </w:rPr>
      </w:pPr>
    </w:p>
    <w:p w14:paraId="474D6BA6" w14:textId="6E693260" w:rsidR="003B5773" w:rsidRDefault="005F17A0" w:rsidP="0059318D">
      <w:pPr>
        <w:spacing w:after="0"/>
        <w:jc w:val="both"/>
        <w:rPr>
          <w:rFonts w:ascii="Calibri" w:hAnsi="Calibri"/>
          <w:sz w:val="24"/>
          <w:szCs w:val="24"/>
        </w:rPr>
      </w:pPr>
      <w:r>
        <w:rPr>
          <w:rFonts w:ascii="Calibri" w:hAnsi="Calibri"/>
          <w:sz w:val="24"/>
          <w:szCs w:val="24"/>
        </w:rPr>
        <w:t>The SCLTDITF is</w:t>
      </w:r>
      <w:r w:rsidR="0059318D">
        <w:rPr>
          <w:rFonts w:ascii="Calibri" w:hAnsi="Calibri"/>
          <w:sz w:val="24"/>
          <w:szCs w:val="24"/>
        </w:rPr>
        <w:t xml:space="preserve"> funded through </w:t>
      </w:r>
      <w:r w:rsidR="00A502D3">
        <w:rPr>
          <w:rFonts w:ascii="Calibri" w:hAnsi="Calibri"/>
          <w:sz w:val="24"/>
          <w:szCs w:val="24"/>
        </w:rPr>
        <w:t xml:space="preserve">employer contributions for </w:t>
      </w:r>
      <w:r w:rsidR="0059318D">
        <w:rPr>
          <w:rFonts w:ascii="Calibri" w:hAnsi="Calibri"/>
          <w:sz w:val="24"/>
          <w:szCs w:val="24"/>
        </w:rPr>
        <w:t>a</w:t>
      </w:r>
      <w:r>
        <w:rPr>
          <w:rFonts w:ascii="Calibri" w:hAnsi="Calibri"/>
          <w:sz w:val="24"/>
          <w:szCs w:val="24"/>
        </w:rPr>
        <w:t>ctive employees</w:t>
      </w:r>
      <w:r w:rsidR="0059318D">
        <w:rPr>
          <w:rFonts w:ascii="Calibri" w:hAnsi="Calibri"/>
          <w:sz w:val="24"/>
          <w:szCs w:val="24"/>
        </w:rPr>
        <w:t xml:space="preserve"> </w:t>
      </w:r>
      <w:r>
        <w:rPr>
          <w:rFonts w:ascii="Calibri" w:hAnsi="Calibri"/>
          <w:sz w:val="24"/>
          <w:szCs w:val="24"/>
        </w:rPr>
        <w:t xml:space="preserve">that elect health insurance coverage.  For this group of active employees, PEBA – Insurance Benefits bills and collects </w:t>
      </w:r>
      <w:r w:rsidR="0059318D">
        <w:rPr>
          <w:rFonts w:ascii="Calibri" w:hAnsi="Calibri"/>
          <w:sz w:val="24"/>
          <w:szCs w:val="24"/>
        </w:rPr>
        <w:t>premium</w:t>
      </w:r>
      <w:r>
        <w:rPr>
          <w:rFonts w:ascii="Calibri" w:hAnsi="Calibri"/>
          <w:sz w:val="24"/>
          <w:szCs w:val="24"/>
        </w:rPr>
        <w:t xml:space="preserve">s </w:t>
      </w:r>
      <w:r w:rsidR="0059318D">
        <w:rPr>
          <w:rFonts w:ascii="Calibri" w:hAnsi="Calibri"/>
          <w:sz w:val="24"/>
          <w:szCs w:val="24"/>
        </w:rPr>
        <w:t xml:space="preserve">charged to State agencies, public school districts and other participating local governments.  The monthly premium per active employee was </w:t>
      </w:r>
      <w:r w:rsidR="0059318D" w:rsidRPr="00005F1A">
        <w:rPr>
          <w:rFonts w:ascii="Calibri" w:hAnsi="Calibri"/>
          <w:sz w:val="24"/>
          <w:szCs w:val="24"/>
        </w:rPr>
        <w:t>$3.22</w:t>
      </w:r>
      <w:r w:rsidR="0059318D">
        <w:rPr>
          <w:rFonts w:ascii="Calibri" w:hAnsi="Calibri"/>
          <w:sz w:val="24"/>
          <w:szCs w:val="24"/>
        </w:rPr>
        <w:t xml:space="preserve"> for the fiscal year ended June 30, 20</w:t>
      </w:r>
      <w:r w:rsidR="00FD5057">
        <w:rPr>
          <w:rFonts w:ascii="Calibri" w:hAnsi="Calibri"/>
          <w:sz w:val="24"/>
          <w:szCs w:val="24"/>
        </w:rPr>
        <w:t>20</w:t>
      </w:r>
      <w:r w:rsidR="0059318D">
        <w:rPr>
          <w:rFonts w:ascii="Calibri" w:hAnsi="Calibri"/>
          <w:sz w:val="24"/>
          <w:szCs w:val="24"/>
        </w:rPr>
        <w:t xml:space="preserve">.  </w:t>
      </w:r>
      <w:r w:rsidR="0059318D" w:rsidRPr="00FF4795">
        <w:rPr>
          <w:rFonts w:ascii="Calibri" w:hAnsi="Calibri"/>
          <w:sz w:val="24"/>
          <w:szCs w:val="24"/>
        </w:rPr>
        <w:t xml:space="preserve">The </w:t>
      </w:r>
      <w:r w:rsidR="0059318D">
        <w:rPr>
          <w:rFonts w:ascii="Calibri" w:hAnsi="Calibri"/>
          <w:sz w:val="24"/>
          <w:szCs w:val="24"/>
        </w:rPr>
        <w:t>SC</w:t>
      </w:r>
      <w:r w:rsidR="0059318D" w:rsidRPr="00FF4795">
        <w:rPr>
          <w:rFonts w:ascii="Calibri" w:hAnsi="Calibri"/>
          <w:sz w:val="24"/>
          <w:szCs w:val="24"/>
        </w:rPr>
        <w:t>LTDIT</w:t>
      </w:r>
      <w:r w:rsidR="0059318D">
        <w:rPr>
          <w:rFonts w:ascii="Calibri" w:hAnsi="Calibri"/>
          <w:sz w:val="24"/>
          <w:szCs w:val="24"/>
        </w:rPr>
        <w:t>F</w:t>
      </w:r>
      <w:r w:rsidR="0059318D" w:rsidRPr="00FF4795">
        <w:rPr>
          <w:rFonts w:ascii="Calibri" w:hAnsi="Calibri"/>
          <w:sz w:val="24"/>
          <w:szCs w:val="24"/>
        </w:rPr>
        <w:t xml:space="preserve"> </w:t>
      </w:r>
      <w:r w:rsidR="0059318D">
        <w:rPr>
          <w:rFonts w:ascii="Calibri" w:hAnsi="Calibri"/>
          <w:sz w:val="24"/>
          <w:szCs w:val="24"/>
        </w:rPr>
        <w:t>premium is billed monthly by</w:t>
      </w:r>
      <w:r w:rsidR="0059318D" w:rsidRPr="00FF4795">
        <w:rPr>
          <w:rFonts w:ascii="Calibri" w:hAnsi="Calibri"/>
          <w:sz w:val="24"/>
          <w:szCs w:val="24"/>
        </w:rPr>
        <w:t xml:space="preserve"> </w:t>
      </w:r>
      <w:r w:rsidR="002B7D61">
        <w:rPr>
          <w:rFonts w:ascii="Calibri" w:hAnsi="Calibri"/>
          <w:sz w:val="24"/>
          <w:szCs w:val="24"/>
        </w:rPr>
        <w:t>PEBA – Insurance Benefits</w:t>
      </w:r>
      <w:r w:rsidR="0059318D" w:rsidRPr="00FF4795">
        <w:rPr>
          <w:rFonts w:ascii="Calibri" w:hAnsi="Calibri"/>
          <w:sz w:val="24"/>
          <w:szCs w:val="24"/>
        </w:rPr>
        <w:t xml:space="preserve"> and transferred monthly to the </w:t>
      </w:r>
      <w:r w:rsidR="0059318D">
        <w:rPr>
          <w:rFonts w:ascii="Calibri" w:hAnsi="Calibri"/>
          <w:sz w:val="24"/>
          <w:szCs w:val="24"/>
        </w:rPr>
        <w:t>SC</w:t>
      </w:r>
      <w:r w:rsidR="0059318D" w:rsidRPr="00FF4795">
        <w:rPr>
          <w:rFonts w:ascii="Calibri" w:hAnsi="Calibri"/>
          <w:sz w:val="24"/>
          <w:szCs w:val="24"/>
        </w:rPr>
        <w:t>LTDIT</w:t>
      </w:r>
      <w:r w:rsidR="0059318D">
        <w:rPr>
          <w:rFonts w:ascii="Calibri" w:hAnsi="Calibri"/>
          <w:sz w:val="24"/>
          <w:szCs w:val="24"/>
        </w:rPr>
        <w:t>F</w:t>
      </w:r>
      <w:r w:rsidR="0059318D" w:rsidRPr="00FF4795">
        <w:rPr>
          <w:rFonts w:ascii="Calibri" w:hAnsi="Calibri"/>
          <w:sz w:val="24"/>
          <w:szCs w:val="24"/>
        </w:rPr>
        <w:t>.</w:t>
      </w:r>
      <w:r w:rsidR="0059318D">
        <w:rPr>
          <w:rFonts w:ascii="Calibri" w:hAnsi="Calibri"/>
          <w:sz w:val="24"/>
          <w:szCs w:val="24"/>
        </w:rPr>
        <w:t xml:space="preserve">  It is also funded through investment income.</w:t>
      </w:r>
    </w:p>
    <w:p w14:paraId="0027A8F5" w14:textId="5DBF0D07" w:rsidR="00794E29" w:rsidRDefault="00794E29" w:rsidP="0059318D">
      <w:pPr>
        <w:spacing w:after="0"/>
        <w:jc w:val="both"/>
        <w:rPr>
          <w:rFonts w:ascii="Calibri" w:hAnsi="Calibri"/>
          <w:sz w:val="24"/>
          <w:szCs w:val="24"/>
        </w:rPr>
      </w:pPr>
      <w:r>
        <w:rPr>
          <w:rFonts w:ascii="Calibri" w:hAnsi="Calibri"/>
          <w:sz w:val="24"/>
          <w:szCs w:val="24"/>
        </w:rPr>
        <w:lastRenderedPageBreak/>
        <w:t xml:space="preserve">The allocation percentage of the OPEB amounts are calculated differently for each OPEB Trust.  For the SCRHITF, the allocation percentage is based on the covered payroll surcharge contribution for each employer.  Please note </w:t>
      </w:r>
      <w:r w:rsidR="002325D1">
        <w:rPr>
          <w:rFonts w:ascii="Calibri" w:hAnsi="Calibri"/>
          <w:sz w:val="24"/>
          <w:szCs w:val="24"/>
        </w:rPr>
        <w:t>that actual covered payroll contributions received from SCRS for the fiscal year 20</w:t>
      </w:r>
      <w:r w:rsidR="00EB6F21">
        <w:rPr>
          <w:rFonts w:ascii="Calibri" w:hAnsi="Calibri"/>
          <w:sz w:val="24"/>
          <w:szCs w:val="24"/>
        </w:rPr>
        <w:t>20</w:t>
      </w:r>
      <w:r w:rsidR="002325D1">
        <w:rPr>
          <w:rFonts w:ascii="Calibri" w:hAnsi="Calibri"/>
          <w:sz w:val="24"/>
          <w:szCs w:val="24"/>
        </w:rPr>
        <w:t xml:space="preserve"> totaled $</w:t>
      </w:r>
      <w:r w:rsidR="00255DF1">
        <w:rPr>
          <w:rFonts w:ascii="Calibri" w:hAnsi="Calibri"/>
          <w:sz w:val="24"/>
          <w:szCs w:val="24"/>
        </w:rPr>
        <w:t>5</w:t>
      </w:r>
      <w:r w:rsidR="00FD5057">
        <w:rPr>
          <w:rFonts w:ascii="Calibri" w:hAnsi="Calibri"/>
          <w:sz w:val="24"/>
          <w:szCs w:val="24"/>
        </w:rPr>
        <w:t>78</w:t>
      </w:r>
      <w:r w:rsidR="002325D1">
        <w:rPr>
          <w:rFonts w:ascii="Calibri" w:hAnsi="Calibri"/>
          <w:sz w:val="24"/>
          <w:szCs w:val="24"/>
        </w:rPr>
        <w:t>,</w:t>
      </w:r>
      <w:r w:rsidR="00FD5057">
        <w:rPr>
          <w:rFonts w:ascii="Calibri" w:hAnsi="Calibri"/>
          <w:sz w:val="24"/>
          <w:szCs w:val="24"/>
        </w:rPr>
        <w:t>838</w:t>
      </w:r>
      <w:r w:rsidR="002325D1">
        <w:rPr>
          <w:rFonts w:ascii="Calibri" w:hAnsi="Calibri"/>
          <w:sz w:val="24"/>
          <w:szCs w:val="24"/>
        </w:rPr>
        <w:t>,</w:t>
      </w:r>
      <w:r w:rsidR="00255DF1">
        <w:rPr>
          <w:rFonts w:ascii="Calibri" w:hAnsi="Calibri"/>
          <w:sz w:val="24"/>
          <w:szCs w:val="24"/>
        </w:rPr>
        <w:t>8</w:t>
      </w:r>
      <w:r w:rsidR="00FD5057">
        <w:rPr>
          <w:rFonts w:ascii="Calibri" w:hAnsi="Calibri"/>
          <w:sz w:val="24"/>
          <w:szCs w:val="24"/>
        </w:rPr>
        <w:t>8</w:t>
      </w:r>
      <w:r w:rsidR="00255DF1">
        <w:rPr>
          <w:rFonts w:ascii="Calibri" w:hAnsi="Calibri"/>
          <w:sz w:val="24"/>
          <w:szCs w:val="24"/>
        </w:rPr>
        <w:t>4</w:t>
      </w:r>
      <w:r w:rsidR="002325D1">
        <w:rPr>
          <w:rFonts w:ascii="Calibri" w:hAnsi="Calibri"/>
          <w:sz w:val="24"/>
          <w:szCs w:val="24"/>
        </w:rPr>
        <w:t>.  However, the covered payroll contributions total includes prior year covered payroll contribution adjustments and true-ups that net to a total of $</w:t>
      </w:r>
      <w:r w:rsidR="008E2DBA">
        <w:rPr>
          <w:rFonts w:ascii="Calibri" w:hAnsi="Calibri"/>
          <w:sz w:val="24"/>
          <w:szCs w:val="24"/>
        </w:rPr>
        <w:t>2</w:t>
      </w:r>
      <w:r w:rsidR="002325D1">
        <w:rPr>
          <w:rFonts w:ascii="Calibri" w:hAnsi="Calibri"/>
          <w:sz w:val="24"/>
          <w:szCs w:val="24"/>
        </w:rPr>
        <w:t>,</w:t>
      </w:r>
      <w:r w:rsidR="008E2DBA">
        <w:rPr>
          <w:rFonts w:ascii="Calibri" w:hAnsi="Calibri"/>
          <w:sz w:val="24"/>
          <w:szCs w:val="24"/>
        </w:rPr>
        <w:t>724,225</w:t>
      </w:r>
      <w:r w:rsidR="002325D1">
        <w:rPr>
          <w:rFonts w:ascii="Calibri" w:hAnsi="Calibri"/>
          <w:sz w:val="24"/>
          <w:szCs w:val="24"/>
        </w:rPr>
        <w:t>.</w:t>
      </w:r>
    </w:p>
    <w:p w14:paraId="0C8976D4" w14:textId="77777777" w:rsidR="00794E29" w:rsidRDefault="00794E29" w:rsidP="0059318D">
      <w:pPr>
        <w:spacing w:after="0"/>
        <w:jc w:val="both"/>
        <w:rPr>
          <w:rFonts w:ascii="Calibri" w:hAnsi="Calibri"/>
          <w:sz w:val="24"/>
          <w:szCs w:val="24"/>
        </w:rPr>
      </w:pPr>
    </w:p>
    <w:p w14:paraId="10A062DC" w14:textId="77777777" w:rsidR="007A5F93" w:rsidRDefault="00982928" w:rsidP="0059318D">
      <w:pPr>
        <w:spacing w:after="0"/>
        <w:jc w:val="both"/>
        <w:rPr>
          <w:rFonts w:ascii="Calibri" w:hAnsi="Calibri"/>
          <w:sz w:val="24"/>
          <w:szCs w:val="24"/>
        </w:rPr>
      </w:pPr>
      <w:r>
        <w:rPr>
          <w:rFonts w:ascii="Calibri" w:hAnsi="Calibri"/>
          <w:sz w:val="24"/>
          <w:szCs w:val="24"/>
        </w:rPr>
        <w:t>In accordance with</w:t>
      </w:r>
      <w:r w:rsidR="007A5F93">
        <w:rPr>
          <w:rFonts w:ascii="Calibri" w:hAnsi="Calibri"/>
          <w:sz w:val="24"/>
          <w:szCs w:val="24"/>
        </w:rPr>
        <w:t xml:space="preserve"> part (b) of paragraph 69 of GASB Statement No. 75, participating employers should recognize revenue in an amount equal to the employer’s proportionate share of the change in the collective net OPEB liability arising from contributions to the OPEB plan during the measurement period from non-employer contributing entities for purposes other than the separate financing of specific liabilities to the OPEB plan.  Therefore, employers should classify this revenue in the same manner as it classifies grants from other entities.</w:t>
      </w:r>
    </w:p>
    <w:p w14:paraId="73FD4A7B" w14:textId="77777777" w:rsidR="00982928" w:rsidRDefault="00982928" w:rsidP="0059318D">
      <w:pPr>
        <w:spacing w:after="0"/>
        <w:jc w:val="both"/>
        <w:rPr>
          <w:rFonts w:ascii="Calibri" w:hAnsi="Calibri"/>
          <w:sz w:val="24"/>
          <w:szCs w:val="24"/>
        </w:rPr>
      </w:pPr>
    </w:p>
    <w:p w14:paraId="571F46F5" w14:textId="77777777" w:rsidR="00982928" w:rsidRDefault="00982928" w:rsidP="00982928">
      <w:pPr>
        <w:spacing w:after="0"/>
        <w:jc w:val="both"/>
        <w:rPr>
          <w:rFonts w:ascii="Calibri" w:hAnsi="Calibri"/>
          <w:sz w:val="24"/>
          <w:szCs w:val="24"/>
        </w:rPr>
      </w:pPr>
      <w:r>
        <w:rPr>
          <w:rFonts w:ascii="Calibri" w:hAnsi="Calibri"/>
          <w:sz w:val="24"/>
          <w:szCs w:val="24"/>
        </w:rPr>
        <w:t>For purposes of measuring the net OPEB liability, deferred outflows and inflows of resources related to OPEB, and OPEB expense, information about the fiduciary net position of the OPEB Trusts, and additions to and deductions from the OPEB Trusts fiduciary net position have been determined on the same basis as they were reported by the OPEB Trusts.  For this purpose, revenues are recognized when earned and expenses are recognized when incurred.  Therefore, benefit and administrative expenses are recognized when due and payable.  Investments are reported at fair value.</w:t>
      </w:r>
    </w:p>
    <w:p w14:paraId="65F20762" w14:textId="77777777" w:rsidR="00982928" w:rsidRDefault="00982928" w:rsidP="00982928">
      <w:pPr>
        <w:spacing w:after="0"/>
        <w:jc w:val="both"/>
        <w:rPr>
          <w:rFonts w:ascii="Calibri" w:hAnsi="Calibri"/>
          <w:sz w:val="24"/>
          <w:szCs w:val="24"/>
        </w:rPr>
      </w:pPr>
    </w:p>
    <w:p w14:paraId="11122767" w14:textId="77777777" w:rsidR="00982928" w:rsidRPr="00CD07E8" w:rsidRDefault="002B7D61" w:rsidP="00982928">
      <w:pPr>
        <w:spacing w:after="0"/>
        <w:jc w:val="both"/>
        <w:rPr>
          <w:sz w:val="24"/>
          <w:szCs w:val="24"/>
        </w:rPr>
      </w:pPr>
      <w:r>
        <w:rPr>
          <w:sz w:val="24"/>
          <w:szCs w:val="24"/>
        </w:rPr>
        <w:t>PEBA – Insurance Benefits</w:t>
      </w:r>
      <w:r w:rsidR="00982928" w:rsidRPr="00CD07E8">
        <w:rPr>
          <w:sz w:val="24"/>
          <w:szCs w:val="24"/>
        </w:rPr>
        <w:t xml:space="preserve"> issues audited financial statements and required supplementary information for the OPEB Trust Funds.  This information is publicly available through the</w:t>
      </w:r>
      <w:r w:rsidR="00794E29">
        <w:rPr>
          <w:sz w:val="24"/>
          <w:szCs w:val="24"/>
        </w:rPr>
        <w:t xml:space="preserve"> PEBA –</w:t>
      </w:r>
      <w:r w:rsidR="00982928" w:rsidRPr="00CD07E8">
        <w:rPr>
          <w:sz w:val="24"/>
          <w:szCs w:val="24"/>
        </w:rPr>
        <w:t xml:space="preserve"> Insurance Benefits’ link on PEBA’s website at </w:t>
      </w:r>
      <w:hyperlink r:id="rId8" w:history="1">
        <w:r w:rsidR="00982928" w:rsidRPr="00CD07E8">
          <w:rPr>
            <w:rStyle w:val="Hyperlink"/>
            <w:sz w:val="24"/>
            <w:szCs w:val="24"/>
          </w:rPr>
          <w:t>www.peba.sc.gov</w:t>
        </w:r>
      </w:hyperlink>
      <w:r w:rsidR="00982928" w:rsidRPr="00CD07E8">
        <w:rPr>
          <w:sz w:val="24"/>
          <w:szCs w:val="24"/>
        </w:rPr>
        <w:t xml:space="preserve"> or a copy may be obtained by submitting a request to PEBA – Insurance Benefits, 202 Arbor Lake Drive, Columbia, SC 29223.  PEBA is considered a division of the primary government of the state of South Carolina and therefore, OPEB Trust fund financial information is also included in the comprehensive annual financial report of the state.</w:t>
      </w:r>
    </w:p>
    <w:p w14:paraId="007E4402" w14:textId="77777777" w:rsidR="00982928" w:rsidRDefault="00982928" w:rsidP="0059318D">
      <w:pPr>
        <w:spacing w:after="0"/>
        <w:jc w:val="both"/>
        <w:rPr>
          <w:rFonts w:ascii="Calibri" w:hAnsi="Calibri"/>
          <w:sz w:val="24"/>
          <w:szCs w:val="24"/>
        </w:rPr>
      </w:pPr>
    </w:p>
    <w:p w14:paraId="0703ACF0" w14:textId="77777777" w:rsidR="0059318D" w:rsidRPr="00CE37E3" w:rsidRDefault="00CE37E3" w:rsidP="0059318D">
      <w:pPr>
        <w:spacing w:after="0"/>
        <w:jc w:val="both"/>
        <w:rPr>
          <w:rFonts w:ascii="Calibri" w:hAnsi="Calibri"/>
          <w:b/>
          <w:sz w:val="24"/>
          <w:szCs w:val="24"/>
        </w:rPr>
      </w:pPr>
      <w:r w:rsidRPr="00CE37E3">
        <w:rPr>
          <w:rFonts w:ascii="Calibri" w:hAnsi="Calibri"/>
          <w:b/>
          <w:sz w:val="24"/>
          <w:szCs w:val="24"/>
        </w:rPr>
        <w:t xml:space="preserve">Note 2:  </w:t>
      </w:r>
      <w:r w:rsidR="0059318D" w:rsidRPr="00CE37E3">
        <w:rPr>
          <w:rFonts w:ascii="Calibri" w:hAnsi="Calibri"/>
          <w:b/>
          <w:sz w:val="24"/>
          <w:szCs w:val="24"/>
        </w:rPr>
        <w:t>Actuarial Assumptions</w:t>
      </w:r>
      <w:r w:rsidR="0006430D" w:rsidRPr="00CE37E3">
        <w:rPr>
          <w:rFonts w:ascii="Calibri" w:hAnsi="Calibri"/>
          <w:b/>
          <w:sz w:val="24"/>
          <w:szCs w:val="24"/>
        </w:rPr>
        <w:t xml:space="preserve"> and Methods</w:t>
      </w:r>
    </w:p>
    <w:p w14:paraId="330E2D1C" w14:textId="77777777" w:rsidR="0006430D" w:rsidRPr="00D46A32" w:rsidRDefault="0006430D" w:rsidP="0006430D">
      <w:pPr>
        <w:pStyle w:val="NoSpacing"/>
        <w:jc w:val="both"/>
        <w:rPr>
          <w:rFonts w:ascii="Calibri" w:hAnsi="Calibri"/>
          <w:sz w:val="24"/>
          <w:szCs w:val="24"/>
        </w:rPr>
      </w:pPr>
      <w:r w:rsidRPr="00D46A32">
        <w:rPr>
          <w:rFonts w:ascii="Calibri" w:hAnsi="Calibri"/>
          <w:sz w:val="24"/>
          <w:szCs w:val="24"/>
        </w:rPr>
        <w:t xml:space="preserve">Actuarial valuations of an ongoing plan involve estimates of the value of reported amounts and assumptions about the probability of occurrence of events far into the future.  Examples include assumptions about future employment, mortality, and the healthcare cost trend.  Actuarially determined amounts are subject to continual revision as actual results are compared with past expectations and new estimates are made about the future.  </w:t>
      </w:r>
    </w:p>
    <w:p w14:paraId="41E559CF" w14:textId="77777777" w:rsidR="00982928" w:rsidRDefault="00982928">
      <w:pPr>
        <w:rPr>
          <w:rFonts w:ascii="Calibri" w:hAnsi="Calibri"/>
          <w:sz w:val="24"/>
          <w:szCs w:val="24"/>
        </w:rPr>
      </w:pPr>
    </w:p>
    <w:p w14:paraId="16B33919" w14:textId="77777777" w:rsidR="0006430D" w:rsidRDefault="0006430D" w:rsidP="007A5F93">
      <w:pPr>
        <w:pStyle w:val="NoSpacing"/>
        <w:jc w:val="both"/>
        <w:rPr>
          <w:rFonts w:ascii="Calibri" w:hAnsi="Calibri"/>
          <w:sz w:val="24"/>
          <w:szCs w:val="24"/>
        </w:rPr>
      </w:pPr>
      <w:r>
        <w:rPr>
          <w:rFonts w:ascii="Calibri" w:hAnsi="Calibri"/>
          <w:sz w:val="24"/>
          <w:szCs w:val="24"/>
        </w:rPr>
        <w:lastRenderedPageBreak/>
        <w:t xml:space="preserve">Projections of benefits for financial reporting purposes are based on the substantive plans (as understood by the employer and plan participants) and include the types of benefits provided at the time the valuation and the historical pattern of sharing of benefit costs between the employer and plan members to that point.  </w:t>
      </w:r>
    </w:p>
    <w:p w14:paraId="74A23C9C" w14:textId="77777777" w:rsidR="007A5F93" w:rsidRDefault="007A5F93" w:rsidP="007A5F93">
      <w:pPr>
        <w:pStyle w:val="NoSpacing"/>
        <w:jc w:val="both"/>
        <w:rPr>
          <w:rFonts w:ascii="Calibri" w:hAnsi="Calibri"/>
          <w:sz w:val="24"/>
          <w:szCs w:val="24"/>
        </w:rPr>
      </w:pPr>
    </w:p>
    <w:p w14:paraId="0EFC2649" w14:textId="77777777" w:rsidR="0006430D" w:rsidRPr="00D762C9" w:rsidRDefault="0006430D" w:rsidP="0006430D">
      <w:pPr>
        <w:pStyle w:val="NoSpacing"/>
        <w:jc w:val="both"/>
        <w:rPr>
          <w:rFonts w:ascii="Calibri" w:hAnsi="Calibri"/>
          <w:sz w:val="24"/>
          <w:szCs w:val="24"/>
        </w:rPr>
      </w:pPr>
      <w:r w:rsidRPr="00D762C9">
        <w:rPr>
          <w:rFonts w:ascii="Calibri" w:hAnsi="Calibri"/>
          <w:sz w:val="24"/>
          <w:szCs w:val="24"/>
        </w:rPr>
        <w:t>Additional information as of the latest actuarial valuation for SCRHITF:</w:t>
      </w:r>
    </w:p>
    <w:p w14:paraId="7A556A80" w14:textId="77777777" w:rsidR="0006430D" w:rsidRPr="00D762C9" w:rsidRDefault="0006430D" w:rsidP="0006430D">
      <w:pPr>
        <w:pStyle w:val="NoSpacing"/>
        <w:ind w:left="720"/>
        <w:jc w:val="both"/>
        <w:rPr>
          <w:rFonts w:ascii="Calibri" w:hAnsi="Calibri"/>
          <w:sz w:val="12"/>
          <w:szCs w:val="12"/>
        </w:rPr>
      </w:pPr>
    </w:p>
    <w:p w14:paraId="39E3A23E" w14:textId="06E5093C" w:rsidR="0006430D" w:rsidRPr="00D762C9" w:rsidRDefault="0095119E" w:rsidP="0006430D">
      <w:pPr>
        <w:pStyle w:val="NoSpacing"/>
        <w:ind w:left="720"/>
        <w:jc w:val="both"/>
        <w:rPr>
          <w:rFonts w:ascii="Calibri" w:hAnsi="Calibri"/>
          <w:sz w:val="24"/>
          <w:szCs w:val="24"/>
        </w:rPr>
      </w:pPr>
      <w:r w:rsidRPr="00D762C9">
        <w:rPr>
          <w:rFonts w:ascii="Calibri" w:hAnsi="Calibri"/>
          <w:sz w:val="24"/>
          <w:szCs w:val="24"/>
        </w:rPr>
        <w:t>Valuation Date:</w:t>
      </w:r>
      <w:r w:rsidRPr="00D762C9">
        <w:rPr>
          <w:rFonts w:ascii="Calibri" w:hAnsi="Calibri"/>
          <w:sz w:val="24"/>
          <w:szCs w:val="24"/>
        </w:rPr>
        <w:tab/>
      </w:r>
      <w:r w:rsidRPr="00D762C9">
        <w:rPr>
          <w:rFonts w:ascii="Calibri" w:hAnsi="Calibri"/>
          <w:sz w:val="24"/>
          <w:szCs w:val="24"/>
        </w:rPr>
        <w:tab/>
        <w:t>June 30, 201</w:t>
      </w:r>
      <w:r w:rsidR="00D762C9" w:rsidRPr="00D762C9">
        <w:rPr>
          <w:rFonts w:ascii="Calibri" w:hAnsi="Calibri"/>
          <w:sz w:val="24"/>
          <w:szCs w:val="24"/>
        </w:rPr>
        <w:t>9</w:t>
      </w:r>
    </w:p>
    <w:p w14:paraId="6CD3F42B" w14:textId="160E4A82" w:rsidR="0006430D" w:rsidRPr="00D762C9" w:rsidRDefault="0006430D" w:rsidP="0006430D">
      <w:pPr>
        <w:pStyle w:val="NoSpacing"/>
        <w:ind w:left="720"/>
        <w:jc w:val="both"/>
        <w:rPr>
          <w:rFonts w:ascii="Calibri" w:hAnsi="Calibri"/>
          <w:sz w:val="24"/>
          <w:szCs w:val="24"/>
        </w:rPr>
      </w:pPr>
      <w:r w:rsidRPr="00D762C9">
        <w:rPr>
          <w:rFonts w:ascii="Calibri" w:hAnsi="Calibri"/>
          <w:sz w:val="24"/>
          <w:szCs w:val="24"/>
        </w:rPr>
        <w:t>Actuarial Cost Method:</w:t>
      </w:r>
      <w:r w:rsidRPr="00D762C9">
        <w:rPr>
          <w:rFonts w:ascii="Calibri" w:hAnsi="Calibri"/>
          <w:sz w:val="24"/>
          <w:szCs w:val="24"/>
        </w:rPr>
        <w:tab/>
      </w:r>
      <w:r w:rsidR="00D762C9">
        <w:rPr>
          <w:rFonts w:ascii="Calibri" w:hAnsi="Calibri"/>
          <w:sz w:val="24"/>
          <w:szCs w:val="24"/>
        </w:rPr>
        <w:t xml:space="preserve">Individual </w:t>
      </w:r>
      <w:r w:rsidRPr="00D762C9">
        <w:rPr>
          <w:rFonts w:ascii="Calibri" w:hAnsi="Calibri"/>
          <w:sz w:val="24"/>
          <w:szCs w:val="24"/>
        </w:rPr>
        <w:t>Entry</w:t>
      </w:r>
      <w:r w:rsidR="00D762C9">
        <w:rPr>
          <w:rFonts w:ascii="Calibri" w:hAnsi="Calibri"/>
          <w:sz w:val="24"/>
          <w:szCs w:val="24"/>
        </w:rPr>
        <w:t xml:space="preserve"> – Age </w:t>
      </w:r>
      <w:r w:rsidRPr="00D762C9">
        <w:rPr>
          <w:rFonts w:ascii="Calibri" w:hAnsi="Calibri"/>
          <w:sz w:val="24"/>
          <w:szCs w:val="24"/>
        </w:rPr>
        <w:t>Normal</w:t>
      </w:r>
    </w:p>
    <w:p w14:paraId="1A4B190C" w14:textId="77777777" w:rsidR="0006430D" w:rsidRPr="00D762C9" w:rsidRDefault="0006430D" w:rsidP="0006430D">
      <w:pPr>
        <w:pStyle w:val="NoSpacing"/>
        <w:ind w:left="720"/>
        <w:jc w:val="both"/>
        <w:rPr>
          <w:rFonts w:ascii="Calibri" w:hAnsi="Calibri"/>
          <w:sz w:val="24"/>
          <w:szCs w:val="24"/>
        </w:rPr>
      </w:pPr>
      <w:r w:rsidRPr="00D762C9">
        <w:rPr>
          <w:rFonts w:ascii="Calibri" w:hAnsi="Calibri"/>
          <w:sz w:val="24"/>
          <w:szCs w:val="24"/>
        </w:rPr>
        <w:t>Inflation:</w:t>
      </w:r>
      <w:r w:rsidRPr="00D762C9">
        <w:rPr>
          <w:rFonts w:ascii="Calibri" w:hAnsi="Calibri"/>
          <w:sz w:val="24"/>
          <w:szCs w:val="24"/>
        </w:rPr>
        <w:tab/>
      </w:r>
      <w:r w:rsidRPr="00D762C9">
        <w:rPr>
          <w:rFonts w:ascii="Calibri" w:hAnsi="Calibri"/>
          <w:sz w:val="24"/>
          <w:szCs w:val="24"/>
        </w:rPr>
        <w:tab/>
      </w:r>
      <w:r w:rsidRPr="00D762C9">
        <w:rPr>
          <w:rFonts w:ascii="Calibri" w:hAnsi="Calibri"/>
          <w:sz w:val="24"/>
          <w:szCs w:val="24"/>
        </w:rPr>
        <w:tab/>
        <w:t>2.25%</w:t>
      </w:r>
    </w:p>
    <w:p w14:paraId="4E0CABEA" w14:textId="77777777" w:rsidR="0006430D" w:rsidRPr="00D762C9" w:rsidRDefault="0006430D" w:rsidP="00AB219E">
      <w:pPr>
        <w:pStyle w:val="NoSpacing"/>
        <w:ind w:left="3600" w:hanging="2880"/>
        <w:rPr>
          <w:rFonts w:ascii="Calibri" w:hAnsi="Calibri"/>
          <w:sz w:val="24"/>
          <w:szCs w:val="24"/>
        </w:rPr>
      </w:pPr>
      <w:r w:rsidRPr="00D762C9">
        <w:rPr>
          <w:rFonts w:ascii="Calibri" w:hAnsi="Calibri"/>
          <w:sz w:val="24"/>
          <w:szCs w:val="24"/>
        </w:rPr>
        <w:t>Investment Rate of Return:</w:t>
      </w:r>
      <w:r w:rsidRPr="00D762C9">
        <w:rPr>
          <w:rFonts w:ascii="Calibri" w:hAnsi="Calibri"/>
          <w:sz w:val="24"/>
          <w:szCs w:val="24"/>
        </w:rPr>
        <w:tab/>
      </w:r>
      <w:r w:rsidR="00413B79" w:rsidRPr="00D762C9">
        <w:rPr>
          <w:rFonts w:ascii="Calibri" w:hAnsi="Calibri"/>
          <w:sz w:val="24"/>
          <w:szCs w:val="24"/>
        </w:rPr>
        <w:t>2</w:t>
      </w:r>
      <w:r w:rsidRPr="00D762C9">
        <w:rPr>
          <w:rFonts w:ascii="Calibri" w:hAnsi="Calibri"/>
          <w:sz w:val="24"/>
          <w:szCs w:val="24"/>
        </w:rPr>
        <w:t>.</w:t>
      </w:r>
      <w:r w:rsidR="00413B79" w:rsidRPr="00D762C9">
        <w:rPr>
          <w:rFonts w:ascii="Calibri" w:hAnsi="Calibri"/>
          <w:sz w:val="24"/>
          <w:szCs w:val="24"/>
        </w:rPr>
        <w:t>75</w:t>
      </w:r>
      <w:r w:rsidR="009C4CCA" w:rsidRPr="00D762C9">
        <w:rPr>
          <w:rFonts w:ascii="Calibri" w:hAnsi="Calibri"/>
          <w:sz w:val="24"/>
          <w:szCs w:val="24"/>
        </w:rPr>
        <w:t>%</w:t>
      </w:r>
      <w:r w:rsidRPr="00D762C9">
        <w:rPr>
          <w:rFonts w:ascii="Calibri" w:hAnsi="Calibri"/>
          <w:sz w:val="24"/>
          <w:szCs w:val="24"/>
        </w:rPr>
        <w:t>, net of OPEB Plan investment expense; including inflation</w:t>
      </w:r>
    </w:p>
    <w:p w14:paraId="572BFF95" w14:textId="7593EDC2" w:rsidR="0006430D" w:rsidRPr="00D762C9" w:rsidRDefault="009C4CCA" w:rsidP="0006430D">
      <w:pPr>
        <w:pStyle w:val="NoSpacing"/>
        <w:ind w:left="720"/>
        <w:rPr>
          <w:rFonts w:ascii="Calibri" w:hAnsi="Calibri"/>
          <w:sz w:val="24"/>
          <w:szCs w:val="24"/>
        </w:rPr>
      </w:pPr>
      <w:r w:rsidRPr="00D762C9">
        <w:rPr>
          <w:rFonts w:ascii="Calibri" w:hAnsi="Calibri"/>
          <w:sz w:val="24"/>
          <w:szCs w:val="24"/>
        </w:rPr>
        <w:t>Single Discount Rate:</w:t>
      </w:r>
      <w:r w:rsidRPr="00D762C9">
        <w:rPr>
          <w:rFonts w:ascii="Calibri" w:hAnsi="Calibri"/>
          <w:sz w:val="24"/>
          <w:szCs w:val="24"/>
        </w:rPr>
        <w:tab/>
      </w:r>
      <w:r w:rsidRPr="00D762C9">
        <w:rPr>
          <w:rFonts w:ascii="Calibri" w:hAnsi="Calibri"/>
          <w:sz w:val="24"/>
          <w:szCs w:val="24"/>
        </w:rPr>
        <w:tab/>
      </w:r>
      <w:r w:rsidR="00D762C9">
        <w:rPr>
          <w:rFonts w:ascii="Calibri" w:hAnsi="Calibri"/>
          <w:sz w:val="24"/>
          <w:szCs w:val="24"/>
        </w:rPr>
        <w:t>2.45</w:t>
      </w:r>
      <w:r w:rsidR="0006430D" w:rsidRPr="00D762C9">
        <w:rPr>
          <w:rFonts w:ascii="Calibri" w:hAnsi="Calibri"/>
          <w:sz w:val="24"/>
          <w:szCs w:val="24"/>
        </w:rPr>
        <w:t>% as of</w:t>
      </w:r>
      <w:r w:rsidRPr="00D762C9">
        <w:rPr>
          <w:rFonts w:ascii="Calibri" w:hAnsi="Calibri"/>
          <w:sz w:val="24"/>
          <w:szCs w:val="24"/>
        </w:rPr>
        <w:t xml:space="preserve"> June 30, 20</w:t>
      </w:r>
      <w:r w:rsidR="00D762C9">
        <w:rPr>
          <w:rFonts w:ascii="Calibri" w:hAnsi="Calibri"/>
          <w:sz w:val="24"/>
          <w:szCs w:val="24"/>
        </w:rPr>
        <w:t>20</w:t>
      </w:r>
    </w:p>
    <w:p w14:paraId="4DF8CD39" w14:textId="77777777" w:rsidR="0006430D" w:rsidRPr="00D762C9" w:rsidRDefault="0006430D" w:rsidP="0006430D">
      <w:pPr>
        <w:pStyle w:val="NoSpacing"/>
        <w:ind w:left="3600" w:hanging="2880"/>
        <w:rPr>
          <w:rFonts w:ascii="Calibri" w:hAnsi="Calibri"/>
          <w:sz w:val="24"/>
          <w:szCs w:val="24"/>
        </w:rPr>
      </w:pPr>
      <w:r w:rsidRPr="00D762C9">
        <w:rPr>
          <w:rFonts w:ascii="Calibri" w:hAnsi="Calibri"/>
          <w:sz w:val="24"/>
          <w:szCs w:val="24"/>
        </w:rPr>
        <w:t>Demographic Assumptions:</w:t>
      </w:r>
      <w:r w:rsidRPr="00D762C9">
        <w:rPr>
          <w:rFonts w:ascii="Calibri" w:hAnsi="Calibri"/>
          <w:sz w:val="24"/>
          <w:szCs w:val="24"/>
        </w:rPr>
        <w:tab/>
        <w:t>Based on the experience study performed for the South Carolina Retirement Systems for the 5-year period ending June 30, 2015</w:t>
      </w:r>
    </w:p>
    <w:p w14:paraId="5CE5D23B" w14:textId="77777777" w:rsidR="00AB219E" w:rsidRPr="00D762C9" w:rsidRDefault="00AB219E" w:rsidP="0006430D">
      <w:pPr>
        <w:pStyle w:val="NoSpacing"/>
        <w:ind w:left="3600" w:hanging="2880"/>
        <w:rPr>
          <w:rFonts w:ascii="Calibri" w:hAnsi="Calibri"/>
          <w:sz w:val="24"/>
          <w:szCs w:val="24"/>
        </w:rPr>
      </w:pPr>
      <w:r w:rsidRPr="00D762C9">
        <w:rPr>
          <w:rFonts w:ascii="Calibri" w:hAnsi="Calibri"/>
          <w:sz w:val="24"/>
          <w:szCs w:val="24"/>
        </w:rPr>
        <w:t>Mortality:</w:t>
      </w:r>
      <w:r w:rsidRPr="00D762C9">
        <w:rPr>
          <w:rFonts w:ascii="Calibri" w:hAnsi="Calibri"/>
          <w:sz w:val="24"/>
          <w:szCs w:val="24"/>
        </w:rPr>
        <w:tab/>
      </w:r>
      <w:r w:rsidRPr="00D762C9">
        <w:rPr>
          <w:sz w:val="24"/>
          <w:szCs w:val="24"/>
        </w:rPr>
        <w:t>For healthy retirees, the 2016 Public Retirees of South Carolina Mortality Table for Males and the 2016 Public Retirees of South Carolina Mortality Table for Females are used with fully generational mortality projections based on Scale AA from the year 2016. Multipliers are applied to the base tables based on gender and employment type.</w:t>
      </w:r>
    </w:p>
    <w:p w14:paraId="77BF090E" w14:textId="332B5ECB" w:rsidR="0006430D" w:rsidRPr="00D762C9" w:rsidRDefault="0006430D" w:rsidP="0006430D">
      <w:pPr>
        <w:pStyle w:val="NoSpacing"/>
        <w:ind w:left="3600" w:hanging="2880"/>
        <w:rPr>
          <w:rFonts w:ascii="Calibri" w:hAnsi="Calibri"/>
          <w:sz w:val="24"/>
          <w:szCs w:val="24"/>
        </w:rPr>
      </w:pPr>
      <w:r w:rsidRPr="00D762C9">
        <w:rPr>
          <w:rFonts w:ascii="Calibri" w:hAnsi="Calibri"/>
          <w:sz w:val="24"/>
          <w:szCs w:val="24"/>
        </w:rPr>
        <w:t>Health Care Trend Rate</w:t>
      </w:r>
      <w:r w:rsidR="009C4CCA" w:rsidRPr="00D762C9">
        <w:rPr>
          <w:rFonts w:ascii="Calibri" w:hAnsi="Calibri"/>
          <w:sz w:val="24"/>
          <w:szCs w:val="24"/>
        </w:rPr>
        <w:t>:</w:t>
      </w:r>
      <w:r w:rsidR="009C4CCA" w:rsidRPr="00D762C9">
        <w:rPr>
          <w:rFonts w:ascii="Calibri" w:hAnsi="Calibri"/>
          <w:sz w:val="24"/>
          <w:szCs w:val="24"/>
        </w:rPr>
        <w:tab/>
        <w:t>Initial trend starting at 6.</w:t>
      </w:r>
      <w:r w:rsidR="00413B79" w:rsidRPr="00D762C9">
        <w:rPr>
          <w:rFonts w:ascii="Calibri" w:hAnsi="Calibri"/>
          <w:sz w:val="24"/>
          <w:szCs w:val="24"/>
        </w:rPr>
        <w:t>40</w:t>
      </w:r>
      <w:r w:rsidRPr="00D762C9">
        <w:rPr>
          <w:rFonts w:ascii="Calibri" w:hAnsi="Calibri"/>
          <w:sz w:val="24"/>
          <w:szCs w:val="24"/>
        </w:rPr>
        <w:t>% and gradually decreasing to an ultimate trend rate of 4.</w:t>
      </w:r>
      <w:r w:rsidR="00D762C9">
        <w:rPr>
          <w:rFonts w:ascii="Calibri" w:hAnsi="Calibri"/>
          <w:sz w:val="24"/>
          <w:szCs w:val="24"/>
        </w:rPr>
        <w:t>00</w:t>
      </w:r>
      <w:r w:rsidRPr="00D762C9">
        <w:rPr>
          <w:rFonts w:ascii="Calibri" w:hAnsi="Calibri"/>
          <w:sz w:val="24"/>
          <w:szCs w:val="24"/>
        </w:rPr>
        <w:t>% over a period of 1</w:t>
      </w:r>
      <w:r w:rsidR="00D762C9">
        <w:rPr>
          <w:rFonts w:ascii="Calibri" w:hAnsi="Calibri"/>
          <w:sz w:val="24"/>
          <w:szCs w:val="24"/>
        </w:rPr>
        <w:t>5</w:t>
      </w:r>
      <w:r w:rsidRPr="00D762C9">
        <w:rPr>
          <w:rFonts w:ascii="Calibri" w:hAnsi="Calibri"/>
          <w:sz w:val="24"/>
          <w:szCs w:val="24"/>
        </w:rPr>
        <w:t xml:space="preserve"> years</w:t>
      </w:r>
    </w:p>
    <w:p w14:paraId="76CB664D" w14:textId="77777777" w:rsidR="00AB219E" w:rsidRPr="00D762C9" w:rsidRDefault="00AB219E" w:rsidP="0006430D">
      <w:pPr>
        <w:pStyle w:val="NoSpacing"/>
        <w:ind w:left="720"/>
        <w:rPr>
          <w:rFonts w:ascii="Calibri" w:hAnsi="Calibri"/>
          <w:sz w:val="24"/>
          <w:szCs w:val="24"/>
        </w:rPr>
      </w:pPr>
      <w:r w:rsidRPr="00D762C9">
        <w:rPr>
          <w:rFonts w:ascii="Calibri" w:hAnsi="Calibri"/>
          <w:sz w:val="24"/>
          <w:szCs w:val="24"/>
        </w:rPr>
        <w:t>Retiree Participation:</w:t>
      </w:r>
      <w:r w:rsidRPr="00D762C9">
        <w:rPr>
          <w:rFonts w:ascii="Calibri" w:hAnsi="Calibri"/>
          <w:sz w:val="24"/>
          <w:szCs w:val="24"/>
        </w:rPr>
        <w:tab/>
      </w:r>
      <w:r w:rsidRPr="00D762C9">
        <w:rPr>
          <w:rFonts w:ascii="Calibri" w:hAnsi="Calibri"/>
          <w:sz w:val="24"/>
          <w:szCs w:val="24"/>
        </w:rPr>
        <w:tab/>
        <w:t>79% for retirees who are eligible for funded premiums</w:t>
      </w:r>
    </w:p>
    <w:p w14:paraId="7420A0DD" w14:textId="77777777" w:rsidR="009C4CCA" w:rsidRPr="00D762C9" w:rsidRDefault="009C4CCA" w:rsidP="0006430D">
      <w:pPr>
        <w:pStyle w:val="NoSpacing"/>
        <w:ind w:left="720"/>
        <w:rPr>
          <w:rFonts w:ascii="Calibri" w:hAnsi="Calibri"/>
          <w:sz w:val="24"/>
          <w:szCs w:val="24"/>
        </w:rPr>
      </w:pPr>
      <w:r w:rsidRPr="00D762C9">
        <w:rPr>
          <w:rFonts w:ascii="Calibri" w:hAnsi="Calibri"/>
          <w:sz w:val="24"/>
          <w:szCs w:val="24"/>
        </w:rPr>
        <w:tab/>
      </w:r>
      <w:r w:rsidRPr="00D762C9">
        <w:rPr>
          <w:rFonts w:ascii="Calibri" w:hAnsi="Calibri"/>
          <w:sz w:val="24"/>
          <w:szCs w:val="24"/>
        </w:rPr>
        <w:tab/>
      </w:r>
      <w:r w:rsidRPr="00D762C9">
        <w:rPr>
          <w:rFonts w:ascii="Calibri" w:hAnsi="Calibri"/>
          <w:sz w:val="24"/>
          <w:szCs w:val="24"/>
        </w:rPr>
        <w:tab/>
      </w:r>
      <w:r w:rsidRPr="00D762C9">
        <w:rPr>
          <w:rFonts w:ascii="Calibri" w:hAnsi="Calibri"/>
          <w:sz w:val="24"/>
          <w:szCs w:val="24"/>
        </w:rPr>
        <w:tab/>
        <w:t xml:space="preserve">59% participation for retirees who are eligible for Partial </w:t>
      </w:r>
    </w:p>
    <w:p w14:paraId="22C83918" w14:textId="77777777" w:rsidR="009C4CCA" w:rsidRPr="00D762C9" w:rsidRDefault="009C4CCA" w:rsidP="009C4CCA">
      <w:pPr>
        <w:pStyle w:val="NoSpacing"/>
        <w:ind w:left="2880" w:firstLine="720"/>
        <w:rPr>
          <w:rFonts w:ascii="Calibri" w:hAnsi="Calibri"/>
          <w:sz w:val="24"/>
          <w:szCs w:val="24"/>
        </w:rPr>
      </w:pPr>
      <w:r w:rsidRPr="00D762C9">
        <w:rPr>
          <w:rFonts w:ascii="Calibri" w:hAnsi="Calibri"/>
          <w:sz w:val="24"/>
          <w:szCs w:val="24"/>
        </w:rPr>
        <w:t>Funded Premiums</w:t>
      </w:r>
    </w:p>
    <w:p w14:paraId="76431C77" w14:textId="77777777" w:rsidR="009C4CCA" w:rsidRPr="00D762C9" w:rsidRDefault="009C4CCA" w:rsidP="009C4CCA">
      <w:pPr>
        <w:pStyle w:val="NoSpacing"/>
        <w:ind w:left="2880" w:firstLine="720"/>
        <w:rPr>
          <w:rFonts w:ascii="Calibri" w:hAnsi="Calibri"/>
          <w:sz w:val="24"/>
          <w:szCs w:val="24"/>
        </w:rPr>
      </w:pPr>
      <w:r w:rsidRPr="00D762C9">
        <w:rPr>
          <w:rFonts w:ascii="Calibri" w:hAnsi="Calibri"/>
          <w:sz w:val="24"/>
          <w:szCs w:val="24"/>
        </w:rPr>
        <w:t>20% participation for retirees who are eligible for Non-</w:t>
      </w:r>
    </w:p>
    <w:p w14:paraId="07A7FDC4" w14:textId="77777777" w:rsidR="009C4CCA" w:rsidRPr="00D762C9" w:rsidRDefault="009C4CCA" w:rsidP="009C4CCA">
      <w:pPr>
        <w:pStyle w:val="NoSpacing"/>
        <w:ind w:left="3600"/>
        <w:rPr>
          <w:rFonts w:ascii="Calibri" w:hAnsi="Calibri"/>
          <w:sz w:val="24"/>
          <w:szCs w:val="24"/>
        </w:rPr>
      </w:pPr>
      <w:r w:rsidRPr="00D762C9">
        <w:rPr>
          <w:rFonts w:ascii="Calibri" w:hAnsi="Calibri"/>
          <w:sz w:val="24"/>
          <w:szCs w:val="24"/>
        </w:rPr>
        <w:t>Funded Premiums</w:t>
      </w:r>
    </w:p>
    <w:p w14:paraId="7FBDF3DE" w14:textId="77777777" w:rsidR="00D762C9" w:rsidRDefault="0006430D" w:rsidP="00D762C9">
      <w:pPr>
        <w:pStyle w:val="NoSpacing"/>
        <w:ind w:left="720"/>
        <w:rPr>
          <w:rFonts w:ascii="Calibri" w:hAnsi="Calibri"/>
          <w:sz w:val="24"/>
          <w:szCs w:val="24"/>
        </w:rPr>
      </w:pPr>
      <w:r w:rsidRPr="00D762C9">
        <w:rPr>
          <w:rFonts w:ascii="Calibri" w:hAnsi="Calibri"/>
          <w:sz w:val="24"/>
          <w:szCs w:val="24"/>
        </w:rPr>
        <w:t>Notes:</w:t>
      </w:r>
      <w:r w:rsidRPr="00D762C9">
        <w:rPr>
          <w:rFonts w:ascii="Calibri" w:hAnsi="Calibri"/>
          <w:sz w:val="24"/>
          <w:szCs w:val="24"/>
        </w:rPr>
        <w:tab/>
      </w:r>
      <w:r w:rsidRPr="00D762C9">
        <w:rPr>
          <w:rFonts w:ascii="Calibri" w:hAnsi="Calibri"/>
          <w:sz w:val="24"/>
          <w:szCs w:val="24"/>
        </w:rPr>
        <w:tab/>
      </w:r>
      <w:r w:rsidRPr="00D762C9">
        <w:rPr>
          <w:rFonts w:ascii="Calibri" w:hAnsi="Calibri"/>
          <w:sz w:val="24"/>
          <w:szCs w:val="24"/>
        </w:rPr>
        <w:tab/>
      </w:r>
      <w:r w:rsidRPr="00D762C9">
        <w:rPr>
          <w:rFonts w:ascii="Calibri" w:hAnsi="Calibri"/>
          <w:sz w:val="24"/>
          <w:szCs w:val="24"/>
        </w:rPr>
        <w:tab/>
        <w:t>The</w:t>
      </w:r>
      <w:r w:rsidR="009C4CCA" w:rsidRPr="00D762C9">
        <w:rPr>
          <w:rFonts w:ascii="Calibri" w:hAnsi="Calibri"/>
          <w:sz w:val="24"/>
          <w:szCs w:val="24"/>
        </w:rPr>
        <w:t xml:space="preserve"> discount rate changed from 3.</w:t>
      </w:r>
      <w:r w:rsidR="00D762C9">
        <w:rPr>
          <w:rFonts w:ascii="Calibri" w:hAnsi="Calibri"/>
          <w:sz w:val="24"/>
          <w:szCs w:val="24"/>
        </w:rPr>
        <w:t>13</w:t>
      </w:r>
      <w:r w:rsidR="009C4CCA" w:rsidRPr="00D762C9">
        <w:rPr>
          <w:rFonts w:ascii="Calibri" w:hAnsi="Calibri"/>
          <w:sz w:val="24"/>
          <w:szCs w:val="24"/>
        </w:rPr>
        <w:t>% as of June 30, 201</w:t>
      </w:r>
      <w:r w:rsidR="00D762C9">
        <w:rPr>
          <w:rFonts w:ascii="Calibri" w:hAnsi="Calibri"/>
          <w:sz w:val="24"/>
          <w:szCs w:val="24"/>
        </w:rPr>
        <w:t>9</w:t>
      </w:r>
      <w:r w:rsidR="009C4CCA" w:rsidRPr="00D762C9">
        <w:rPr>
          <w:rFonts w:ascii="Calibri" w:hAnsi="Calibri"/>
          <w:sz w:val="24"/>
          <w:szCs w:val="24"/>
        </w:rPr>
        <w:t xml:space="preserve"> </w:t>
      </w:r>
    </w:p>
    <w:p w14:paraId="03291B21" w14:textId="0CE31C36" w:rsidR="0059318D" w:rsidRPr="0059318D" w:rsidRDefault="009C4CCA" w:rsidP="00D762C9">
      <w:pPr>
        <w:pStyle w:val="NoSpacing"/>
        <w:ind w:left="3600"/>
        <w:rPr>
          <w:rFonts w:ascii="Calibri" w:hAnsi="Calibri"/>
          <w:sz w:val="24"/>
          <w:szCs w:val="24"/>
        </w:rPr>
      </w:pPr>
      <w:r w:rsidRPr="00D762C9">
        <w:rPr>
          <w:rFonts w:ascii="Calibri" w:hAnsi="Calibri"/>
          <w:sz w:val="24"/>
          <w:szCs w:val="24"/>
        </w:rPr>
        <w:t xml:space="preserve">to </w:t>
      </w:r>
      <w:r w:rsidR="00D762C9">
        <w:rPr>
          <w:rFonts w:ascii="Calibri" w:hAnsi="Calibri"/>
          <w:sz w:val="24"/>
          <w:szCs w:val="24"/>
        </w:rPr>
        <w:t>2.45</w:t>
      </w:r>
      <w:r w:rsidRPr="00D762C9">
        <w:rPr>
          <w:rFonts w:ascii="Calibri" w:hAnsi="Calibri"/>
          <w:sz w:val="24"/>
          <w:szCs w:val="24"/>
        </w:rPr>
        <w:t>% as of June 30, 20</w:t>
      </w:r>
      <w:r w:rsidR="00D762C9">
        <w:rPr>
          <w:rFonts w:ascii="Calibri" w:hAnsi="Calibri"/>
          <w:sz w:val="24"/>
          <w:szCs w:val="24"/>
        </w:rPr>
        <w:t>20</w:t>
      </w:r>
      <w:r w:rsidR="00413B79" w:rsidRPr="00D762C9">
        <w:rPr>
          <w:rFonts w:ascii="Calibri" w:hAnsi="Calibri"/>
          <w:sz w:val="24"/>
          <w:szCs w:val="24"/>
        </w:rPr>
        <w:t xml:space="preserve">; updates were </w:t>
      </w:r>
      <w:r w:rsidR="00D762C9">
        <w:rPr>
          <w:rFonts w:ascii="Calibri" w:hAnsi="Calibri"/>
          <w:sz w:val="24"/>
          <w:szCs w:val="24"/>
        </w:rPr>
        <w:t xml:space="preserve">also </w:t>
      </w:r>
      <w:r w:rsidR="00413B79" w:rsidRPr="00D762C9">
        <w:rPr>
          <w:rFonts w:ascii="Calibri" w:hAnsi="Calibri"/>
          <w:sz w:val="24"/>
          <w:szCs w:val="24"/>
        </w:rPr>
        <w:t>made to the healthcare trend rate assumption</w:t>
      </w:r>
      <w:r w:rsidR="00D762C9">
        <w:rPr>
          <w:rFonts w:ascii="Calibri" w:hAnsi="Calibri"/>
          <w:sz w:val="24"/>
          <w:szCs w:val="24"/>
        </w:rPr>
        <w:t>, including an adjustment to reflect the repeal of the “Cadillac Tax”.</w:t>
      </w:r>
    </w:p>
    <w:p w14:paraId="5B02749D" w14:textId="77777777" w:rsidR="00CD07E8" w:rsidRDefault="00CD07E8" w:rsidP="00CD07E8">
      <w:pPr>
        <w:spacing w:after="0"/>
        <w:jc w:val="both"/>
        <w:rPr>
          <w:sz w:val="24"/>
          <w:szCs w:val="24"/>
        </w:rPr>
      </w:pPr>
    </w:p>
    <w:p w14:paraId="08408AA6" w14:textId="77777777" w:rsidR="00AB219E" w:rsidRDefault="00AB219E">
      <w:pPr>
        <w:rPr>
          <w:rFonts w:ascii="Calibri" w:hAnsi="Calibri"/>
          <w:sz w:val="24"/>
          <w:szCs w:val="24"/>
        </w:rPr>
      </w:pPr>
      <w:r>
        <w:rPr>
          <w:rFonts w:ascii="Calibri" w:hAnsi="Calibri"/>
          <w:sz w:val="24"/>
          <w:szCs w:val="24"/>
        </w:rPr>
        <w:br w:type="page"/>
      </w:r>
    </w:p>
    <w:p w14:paraId="2F13C418" w14:textId="77777777" w:rsidR="0006430D" w:rsidRPr="00D762C9" w:rsidRDefault="0006430D" w:rsidP="0006430D">
      <w:pPr>
        <w:pStyle w:val="NoSpacing"/>
        <w:rPr>
          <w:rFonts w:ascii="Calibri" w:hAnsi="Calibri"/>
          <w:sz w:val="24"/>
          <w:szCs w:val="24"/>
        </w:rPr>
      </w:pPr>
      <w:r w:rsidRPr="00D762C9">
        <w:rPr>
          <w:rFonts w:ascii="Calibri" w:hAnsi="Calibri"/>
          <w:sz w:val="24"/>
          <w:szCs w:val="24"/>
        </w:rPr>
        <w:lastRenderedPageBreak/>
        <w:t>Additional information as of the latest actuarial valuation for SCLTDITF:</w:t>
      </w:r>
    </w:p>
    <w:p w14:paraId="245692A1" w14:textId="77777777" w:rsidR="0006430D" w:rsidRPr="00D762C9" w:rsidRDefault="0006430D" w:rsidP="0006430D">
      <w:pPr>
        <w:pStyle w:val="NoSpacing"/>
        <w:ind w:left="720"/>
        <w:rPr>
          <w:rFonts w:ascii="Calibri" w:hAnsi="Calibri"/>
          <w:sz w:val="12"/>
          <w:szCs w:val="12"/>
        </w:rPr>
      </w:pPr>
    </w:p>
    <w:p w14:paraId="2843F006" w14:textId="2E7C7D7F" w:rsidR="0006430D" w:rsidRPr="00D762C9" w:rsidRDefault="0006430D" w:rsidP="0006430D">
      <w:pPr>
        <w:pStyle w:val="NoSpacing"/>
        <w:ind w:left="720"/>
        <w:rPr>
          <w:rFonts w:ascii="Calibri" w:hAnsi="Calibri"/>
          <w:sz w:val="24"/>
          <w:szCs w:val="24"/>
        </w:rPr>
      </w:pPr>
      <w:r w:rsidRPr="00D762C9">
        <w:rPr>
          <w:rFonts w:ascii="Calibri" w:hAnsi="Calibri"/>
          <w:sz w:val="24"/>
          <w:szCs w:val="24"/>
        </w:rPr>
        <w:t>Valuation Date:</w:t>
      </w:r>
      <w:r w:rsidRPr="00D762C9">
        <w:rPr>
          <w:rFonts w:ascii="Calibri" w:hAnsi="Calibri"/>
          <w:sz w:val="24"/>
          <w:szCs w:val="24"/>
        </w:rPr>
        <w:tab/>
      </w:r>
      <w:r w:rsidRPr="00D762C9">
        <w:rPr>
          <w:rFonts w:ascii="Calibri" w:hAnsi="Calibri"/>
          <w:sz w:val="24"/>
          <w:szCs w:val="24"/>
        </w:rPr>
        <w:tab/>
      </w:r>
      <w:r w:rsidR="004D6FEC" w:rsidRPr="00D762C9">
        <w:rPr>
          <w:rFonts w:ascii="Calibri" w:hAnsi="Calibri"/>
          <w:sz w:val="24"/>
          <w:szCs w:val="24"/>
        </w:rPr>
        <w:t>June 30, 201</w:t>
      </w:r>
      <w:r w:rsidR="00D762C9">
        <w:rPr>
          <w:rFonts w:ascii="Calibri" w:hAnsi="Calibri"/>
          <w:sz w:val="24"/>
          <w:szCs w:val="24"/>
        </w:rPr>
        <w:t>9</w:t>
      </w:r>
    </w:p>
    <w:p w14:paraId="515BDF3C" w14:textId="65D0510E" w:rsidR="0006430D" w:rsidRPr="00D762C9" w:rsidRDefault="0006430D" w:rsidP="0006430D">
      <w:pPr>
        <w:pStyle w:val="NoSpacing"/>
        <w:ind w:left="720"/>
        <w:rPr>
          <w:rFonts w:ascii="Calibri" w:hAnsi="Calibri"/>
          <w:sz w:val="24"/>
          <w:szCs w:val="24"/>
        </w:rPr>
      </w:pPr>
      <w:r w:rsidRPr="00D762C9">
        <w:rPr>
          <w:rFonts w:ascii="Calibri" w:hAnsi="Calibri"/>
          <w:sz w:val="24"/>
          <w:szCs w:val="24"/>
        </w:rPr>
        <w:t>Actuarial Cost Method:</w:t>
      </w:r>
      <w:r w:rsidRPr="00D762C9">
        <w:rPr>
          <w:rFonts w:ascii="Calibri" w:hAnsi="Calibri"/>
          <w:sz w:val="24"/>
          <w:szCs w:val="24"/>
        </w:rPr>
        <w:tab/>
      </w:r>
      <w:r w:rsidR="00D762C9">
        <w:rPr>
          <w:rFonts w:ascii="Calibri" w:hAnsi="Calibri"/>
          <w:sz w:val="24"/>
          <w:szCs w:val="24"/>
        </w:rPr>
        <w:t xml:space="preserve">Individual </w:t>
      </w:r>
      <w:r w:rsidRPr="00D762C9">
        <w:rPr>
          <w:rFonts w:ascii="Calibri" w:hAnsi="Calibri"/>
          <w:sz w:val="24"/>
          <w:szCs w:val="24"/>
        </w:rPr>
        <w:t>Entry</w:t>
      </w:r>
      <w:r w:rsidR="00D762C9">
        <w:rPr>
          <w:rFonts w:ascii="Calibri" w:hAnsi="Calibri"/>
          <w:sz w:val="24"/>
          <w:szCs w:val="24"/>
        </w:rPr>
        <w:t xml:space="preserve"> – Age </w:t>
      </w:r>
      <w:r w:rsidRPr="00D762C9">
        <w:rPr>
          <w:rFonts w:ascii="Calibri" w:hAnsi="Calibri"/>
          <w:sz w:val="24"/>
          <w:szCs w:val="24"/>
        </w:rPr>
        <w:t>Normal</w:t>
      </w:r>
    </w:p>
    <w:p w14:paraId="4C8FDE75" w14:textId="77777777" w:rsidR="0006430D" w:rsidRPr="00D762C9" w:rsidRDefault="0006430D" w:rsidP="0006430D">
      <w:pPr>
        <w:pStyle w:val="NoSpacing"/>
        <w:ind w:left="720"/>
        <w:rPr>
          <w:rFonts w:ascii="Calibri" w:hAnsi="Calibri"/>
          <w:sz w:val="24"/>
          <w:szCs w:val="24"/>
        </w:rPr>
      </w:pPr>
      <w:r w:rsidRPr="00D762C9">
        <w:rPr>
          <w:rFonts w:ascii="Calibri" w:hAnsi="Calibri"/>
          <w:sz w:val="24"/>
          <w:szCs w:val="24"/>
        </w:rPr>
        <w:t>Inflation:</w:t>
      </w:r>
      <w:r w:rsidRPr="00D762C9">
        <w:rPr>
          <w:rFonts w:ascii="Calibri" w:hAnsi="Calibri"/>
          <w:sz w:val="24"/>
          <w:szCs w:val="24"/>
        </w:rPr>
        <w:tab/>
      </w:r>
      <w:r w:rsidRPr="00D762C9">
        <w:rPr>
          <w:rFonts w:ascii="Calibri" w:hAnsi="Calibri"/>
          <w:sz w:val="24"/>
          <w:szCs w:val="24"/>
        </w:rPr>
        <w:tab/>
      </w:r>
      <w:r w:rsidRPr="00D762C9">
        <w:rPr>
          <w:rFonts w:ascii="Calibri" w:hAnsi="Calibri"/>
          <w:sz w:val="24"/>
          <w:szCs w:val="24"/>
        </w:rPr>
        <w:tab/>
        <w:t>2.25%</w:t>
      </w:r>
    </w:p>
    <w:p w14:paraId="46560A4A" w14:textId="77777777" w:rsidR="0006430D" w:rsidRPr="00D762C9" w:rsidRDefault="0006430D" w:rsidP="0006430D">
      <w:pPr>
        <w:pStyle w:val="NoSpacing"/>
        <w:ind w:left="720"/>
        <w:rPr>
          <w:rFonts w:ascii="Calibri" w:hAnsi="Calibri"/>
          <w:sz w:val="24"/>
          <w:szCs w:val="24"/>
        </w:rPr>
      </w:pPr>
      <w:r w:rsidRPr="00D762C9">
        <w:rPr>
          <w:rFonts w:ascii="Calibri" w:hAnsi="Calibri"/>
          <w:sz w:val="24"/>
          <w:szCs w:val="24"/>
        </w:rPr>
        <w:t>Investment Rate of Return:</w:t>
      </w:r>
      <w:r w:rsidRPr="00D762C9">
        <w:rPr>
          <w:rFonts w:ascii="Calibri" w:hAnsi="Calibri"/>
          <w:sz w:val="24"/>
          <w:szCs w:val="24"/>
        </w:rPr>
        <w:tab/>
      </w:r>
      <w:r w:rsidR="00413B79" w:rsidRPr="00D762C9">
        <w:rPr>
          <w:rFonts w:ascii="Calibri" w:hAnsi="Calibri"/>
          <w:sz w:val="24"/>
          <w:szCs w:val="24"/>
        </w:rPr>
        <w:t>3</w:t>
      </w:r>
      <w:r w:rsidRPr="00D762C9">
        <w:rPr>
          <w:rFonts w:ascii="Calibri" w:hAnsi="Calibri"/>
          <w:sz w:val="24"/>
          <w:szCs w:val="24"/>
        </w:rPr>
        <w:t>.00</w:t>
      </w:r>
      <w:r w:rsidR="004D6FEC" w:rsidRPr="00D762C9">
        <w:rPr>
          <w:rFonts w:ascii="Calibri" w:hAnsi="Calibri"/>
          <w:sz w:val="24"/>
          <w:szCs w:val="24"/>
        </w:rPr>
        <w:t>%</w:t>
      </w:r>
      <w:r w:rsidRPr="00D762C9">
        <w:rPr>
          <w:rFonts w:ascii="Calibri" w:hAnsi="Calibri"/>
          <w:sz w:val="24"/>
          <w:szCs w:val="24"/>
        </w:rPr>
        <w:t>, net of Plan investment expense; including inflation</w:t>
      </w:r>
    </w:p>
    <w:p w14:paraId="6DD5A647" w14:textId="7F2A2583" w:rsidR="0006430D" w:rsidRPr="00D762C9" w:rsidRDefault="004D6FEC" w:rsidP="0006430D">
      <w:pPr>
        <w:pStyle w:val="NoSpacing"/>
        <w:ind w:left="720"/>
        <w:rPr>
          <w:rFonts w:ascii="Calibri" w:hAnsi="Calibri"/>
          <w:sz w:val="24"/>
          <w:szCs w:val="24"/>
        </w:rPr>
      </w:pPr>
      <w:r w:rsidRPr="00D762C9">
        <w:rPr>
          <w:rFonts w:ascii="Calibri" w:hAnsi="Calibri"/>
          <w:sz w:val="24"/>
          <w:szCs w:val="24"/>
        </w:rPr>
        <w:t>Single Discount Rate:</w:t>
      </w:r>
      <w:r w:rsidRPr="00D762C9">
        <w:rPr>
          <w:rFonts w:ascii="Calibri" w:hAnsi="Calibri"/>
          <w:sz w:val="24"/>
          <w:szCs w:val="24"/>
        </w:rPr>
        <w:tab/>
      </w:r>
      <w:r w:rsidRPr="00D762C9">
        <w:rPr>
          <w:rFonts w:ascii="Calibri" w:hAnsi="Calibri"/>
          <w:sz w:val="24"/>
          <w:szCs w:val="24"/>
        </w:rPr>
        <w:tab/>
      </w:r>
      <w:r w:rsidR="00D762C9">
        <w:rPr>
          <w:rFonts w:ascii="Calibri" w:hAnsi="Calibri"/>
          <w:sz w:val="24"/>
          <w:szCs w:val="24"/>
        </w:rPr>
        <w:t>2.83</w:t>
      </w:r>
      <w:r w:rsidRPr="00D762C9">
        <w:rPr>
          <w:rFonts w:ascii="Calibri" w:hAnsi="Calibri"/>
          <w:sz w:val="24"/>
          <w:szCs w:val="24"/>
        </w:rPr>
        <w:t>% as of June 30, 20</w:t>
      </w:r>
      <w:r w:rsidR="00D762C9">
        <w:rPr>
          <w:rFonts w:ascii="Calibri" w:hAnsi="Calibri"/>
          <w:sz w:val="24"/>
          <w:szCs w:val="24"/>
        </w:rPr>
        <w:t>20</w:t>
      </w:r>
    </w:p>
    <w:p w14:paraId="3858D320" w14:textId="77777777" w:rsidR="00AE484C" w:rsidRPr="00D762C9" w:rsidRDefault="0006430D" w:rsidP="0006430D">
      <w:pPr>
        <w:pStyle w:val="NoSpacing"/>
        <w:ind w:left="3600" w:hanging="2880"/>
        <w:rPr>
          <w:rFonts w:ascii="Calibri" w:hAnsi="Calibri"/>
          <w:sz w:val="24"/>
          <w:szCs w:val="24"/>
        </w:rPr>
      </w:pPr>
      <w:r w:rsidRPr="00D762C9">
        <w:rPr>
          <w:rFonts w:ascii="Calibri" w:hAnsi="Calibri"/>
          <w:sz w:val="24"/>
          <w:szCs w:val="24"/>
        </w:rPr>
        <w:t>Salary, Termination, and</w:t>
      </w:r>
      <w:r w:rsidR="00AE484C" w:rsidRPr="00D762C9">
        <w:rPr>
          <w:rFonts w:ascii="Calibri" w:hAnsi="Calibri"/>
          <w:sz w:val="24"/>
          <w:szCs w:val="24"/>
        </w:rPr>
        <w:t xml:space="preserve"> </w:t>
      </w:r>
      <w:r w:rsidRPr="00D762C9">
        <w:rPr>
          <w:rFonts w:ascii="Calibri" w:hAnsi="Calibri"/>
          <w:sz w:val="24"/>
          <w:szCs w:val="24"/>
        </w:rPr>
        <w:tab/>
        <w:t>Based on the experience study performed for the South</w:t>
      </w:r>
    </w:p>
    <w:p w14:paraId="42A84AAA" w14:textId="77777777" w:rsidR="0006430D" w:rsidRPr="00D762C9" w:rsidRDefault="00AE484C" w:rsidP="0006430D">
      <w:pPr>
        <w:pStyle w:val="NoSpacing"/>
        <w:ind w:left="3600" w:hanging="2880"/>
        <w:rPr>
          <w:rFonts w:ascii="Calibri" w:hAnsi="Calibri"/>
          <w:sz w:val="24"/>
          <w:szCs w:val="24"/>
        </w:rPr>
      </w:pPr>
      <w:r w:rsidRPr="00D762C9">
        <w:rPr>
          <w:rFonts w:ascii="Calibri" w:hAnsi="Calibri"/>
          <w:sz w:val="24"/>
          <w:szCs w:val="24"/>
        </w:rPr>
        <w:t>Retirement Rates:</w:t>
      </w:r>
      <w:r w:rsidRPr="00D762C9">
        <w:rPr>
          <w:rFonts w:ascii="Calibri" w:hAnsi="Calibri"/>
          <w:sz w:val="24"/>
          <w:szCs w:val="24"/>
        </w:rPr>
        <w:tab/>
      </w:r>
      <w:r w:rsidR="0006430D" w:rsidRPr="00D762C9">
        <w:rPr>
          <w:rFonts w:ascii="Calibri" w:hAnsi="Calibri"/>
          <w:sz w:val="24"/>
          <w:szCs w:val="24"/>
        </w:rPr>
        <w:t>Carolina Retirement</w:t>
      </w:r>
      <w:r w:rsidRPr="00D762C9">
        <w:rPr>
          <w:rFonts w:ascii="Calibri" w:hAnsi="Calibri"/>
          <w:sz w:val="24"/>
          <w:szCs w:val="24"/>
        </w:rPr>
        <w:t xml:space="preserve"> S</w:t>
      </w:r>
      <w:r w:rsidR="0006430D" w:rsidRPr="00D762C9">
        <w:rPr>
          <w:rFonts w:ascii="Calibri" w:hAnsi="Calibri"/>
          <w:sz w:val="24"/>
          <w:szCs w:val="24"/>
        </w:rPr>
        <w:t>ystems for the 5-year period ending June 30, 2015</w:t>
      </w:r>
    </w:p>
    <w:p w14:paraId="4D454601" w14:textId="13ED4A0E" w:rsidR="0006430D" w:rsidRPr="00D762C9" w:rsidRDefault="0006430D" w:rsidP="0006430D">
      <w:pPr>
        <w:pStyle w:val="NoSpacing"/>
        <w:ind w:left="3600" w:hanging="2880"/>
        <w:rPr>
          <w:rFonts w:ascii="Calibri" w:hAnsi="Calibri"/>
          <w:sz w:val="24"/>
          <w:szCs w:val="24"/>
        </w:rPr>
      </w:pPr>
      <w:r w:rsidRPr="00D762C9">
        <w:rPr>
          <w:rFonts w:ascii="Calibri" w:hAnsi="Calibri"/>
          <w:sz w:val="24"/>
          <w:szCs w:val="24"/>
        </w:rPr>
        <w:t>Disability Incidence:</w:t>
      </w:r>
      <w:r w:rsidRPr="00D762C9">
        <w:rPr>
          <w:rFonts w:ascii="Calibri" w:hAnsi="Calibri"/>
          <w:sz w:val="24"/>
          <w:szCs w:val="24"/>
        </w:rPr>
        <w:tab/>
        <w:t xml:space="preserve">The </w:t>
      </w:r>
      <w:r w:rsidR="00D762C9">
        <w:rPr>
          <w:rFonts w:ascii="Calibri" w:hAnsi="Calibri"/>
          <w:sz w:val="24"/>
          <w:szCs w:val="24"/>
        </w:rPr>
        <w:t xml:space="preserve">disability </w:t>
      </w:r>
      <w:r w:rsidRPr="00D762C9">
        <w:rPr>
          <w:rFonts w:ascii="Calibri" w:hAnsi="Calibri"/>
          <w:sz w:val="24"/>
          <w:szCs w:val="24"/>
        </w:rPr>
        <w:t>rates used in the valuation are based on the rates developed for the South Carolina Retirement Systems pension plans</w:t>
      </w:r>
    </w:p>
    <w:p w14:paraId="759B83EE" w14:textId="77777777" w:rsidR="0006430D" w:rsidRPr="00D762C9" w:rsidRDefault="0006430D" w:rsidP="0006430D">
      <w:pPr>
        <w:pStyle w:val="NoSpacing"/>
        <w:ind w:left="3600" w:hanging="2880"/>
        <w:rPr>
          <w:rFonts w:ascii="Calibri" w:hAnsi="Calibri"/>
          <w:sz w:val="24"/>
          <w:szCs w:val="24"/>
        </w:rPr>
      </w:pPr>
      <w:r w:rsidRPr="00D762C9">
        <w:rPr>
          <w:rFonts w:ascii="Calibri" w:hAnsi="Calibri"/>
          <w:sz w:val="24"/>
          <w:szCs w:val="24"/>
        </w:rPr>
        <w:t>Disability Recovery:</w:t>
      </w:r>
      <w:r w:rsidRPr="00D762C9">
        <w:rPr>
          <w:rFonts w:ascii="Calibri" w:hAnsi="Calibri"/>
          <w:sz w:val="24"/>
          <w:szCs w:val="24"/>
        </w:rPr>
        <w:tab/>
        <w:t>For participants in payment, 1987 CGDT Group Disability; for active employees, 60% were assumed to recover after the first year and 92% were assumed to recover after the first two years</w:t>
      </w:r>
    </w:p>
    <w:p w14:paraId="6A212D0E" w14:textId="77777777" w:rsidR="0078434C" w:rsidRPr="00D762C9" w:rsidRDefault="0006430D" w:rsidP="0078434C">
      <w:pPr>
        <w:pStyle w:val="NoSpacing"/>
        <w:ind w:left="3600" w:hanging="2880"/>
        <w:rPr>
          <w:rFonts w:ascii="Calibri" w:hAnsi="Calibri"/>
          <w:sz w:val="24"/>
          <w:szCs w:val="24"/>
        </w:rPr>
      </w:pPr>
      <w:r w:rsidRPr="00D762C9">
        <w:rPr>
          <w:rFonts w:ascii="Calibri" w:hAnsi="Calibri"/>
          <w:sz w:val="24"/>
          <w:szCs w:val="24"/>
        </w:rPr>
        <w:t>Offsets:</w:t>
      </w:r>
      <w:r w:rsidRPr="00D762C9">
        <w:rPr>
          <w:rFonts w:ascii="Calibri" w:hAnsi="Calibri"/>
          <w:sz w:val="24"/>
          <w:szCs w:val="24"/>
        </w:rPr>
        <w:tab/>
        <w:t>40% are assumed to be eligible for Social Security benefits; assumed percentage who will be eligible for a pension plan offset varies based on employee group</w:t>
      </w:r>
    </w:p>
    <w:p w14:paraId="15CA6BFF" w14:textId="77777777" w:rsidR="004D6FEC" w:rsidRPr="00D762C9" w:rsidRDefault="004D6FEC" w:rsidP="0006430D">
      <w:pPr>
        <w:pStyle w:val="NoSpacing"/>
        <w:ind w:left="720"/>
        <w:rPr>
          <w:rFonts w:ascii="Calibri" w:hAnsi="Calibri"/>
          <w:sz w:val="24"/>
          <w:szCs w:val="24"/>
        </w:rPr>
      </w:pPr>
      <w:r w:rsidRPr="00D762C9">
        <w:rPr>
          <w:rFonts w:ascii="Calibri" w:hAnsi="Calibri"/>
          <w:sz w:val="24"/>
          <w:szCs w:val="24"/>
        </w:rPr>
        <w:t>Expenses:</w:t>
      </w:r>
      <w:r w:rsidRPr="00D762C9">
        <w:rPr>
          <w:rFonts w:ascii="Calibri" w:hAnsi="Calibri"/>
          <w:sz w:val="24"/>
          <w:szCs w:val="24"/>
        </w:rPr>
        <w:tab/>
      </w:r>
      <w:r w:rsidRPr="00D762C9">
        <w:rPr>
          <w:rFonts w:ascii="Calibri" w:hAnsi="Calibri"/>
          <w:sz w:val="24"/>
          <w:szCs w:val="24"/>
        </w:rPr>
        <w:tab/>
      </w:r>
      <w:r w:rsidRPr="00D762C9">
        <w:rPr>
          <w:rFonts w:ascii="Calibri" w:hAnsi="Calibri"/>
          <w:sz w:val="24"/>
          <w:szCs w:val="24"/>
        </w:rPr>
        <w:tab/>
        <w:t xml:space="preserve">Third party administrative expenses were included in the </w:t>
      </w:r>
    </w:p>
    <w:p w14:paraId="119DDD6C" w14:textId="77777777" w:rsidR="004D6FEC" w:rsidRPr="00D762C9" w:rsidRDefault="004D6FEC" w:rsidP="004D6FEC">
      <w:pPr>
        <w:pStyle w:val="NoSpacing"/>
        <w:ind w:left="2880" w:firstLine="720"/>
        <w:rPr>
          <w:rFonts w:ascii="Calibri" w:hAnsi="Calibri"/>
          <w:sz w:val="24"/>
          <w:szCs w:val="24"/>
        </w:rPr>
      </w:pPr>
      <w:r w:rsidRPr="00D762C9">
        <w:rPr>
          <w:rFonts w:ascii="Calibri" w:hAnsi="Calibri"/>
          <w:sz w:val="24"/>
          <w:szCs w:val="24"/>
        </w:rPr>
        <w:t>benefit projections</w:t>
      </w:r>
    </w:p>
    <w:p w14:paraId="70442C28" w14:textId="6A03F5EC" w:rsidR="004D6FEC" w:rsidRPr="00D762C9" w:rsidRDefault="0006430D" w:rsidP="004D6FEC">
      <w:pPr>
        <w:pStyle w:val="NoSpacing"/>
        <w:ind w:left="720"/>
        <w:rPr>
          <w:rFonts w:ascii="Calibri" w:hAnsi="Calibri"/>
          <w:sz w:val="24"/>
          <w:szCs w:val="24"/>
        </w:rPr>
      </w:pPr>
      <w:r w:rsidRPr="00D762C9">
        <w:rPr>
          <w:rFonts w:ascii="Calibri" w:hAnsi="Calibri"/>
          <w:sz w:val="24"/>
          <w:szCs w:val="24"/>
        </w:rPr>
        <w:t>Notes:</w:t>
      </w:r>
      <w:r w:rsidRPr="00D762C9">
        <w:rPr>
          <w:rFonts w:ascii="Calibri" w:hAnsi="Calibri"/>
          <w:sz w:val="24"/>
          <w:szCs w:val="24"/>
        </w:rPr>
        <w:tab/>
      </w:r>
      <w:r w:rsidRPr="00D762C9">
        <w:rPr>
          <w:rFonts w:ascii="Calibri" w:hAnsi="Calibri"/>
          <w:sz w:val="24"/>
          <w:szCs w:val="24"/>
        </w:rPr>
        <w:tab/>
      </w:r>
      <w:r w:rsidRPr="00D762C9">
        <w:rPr>
          <w:rFonts w:ascii="Calibri" w:hAnsi="Calibri"/>
          <w:sz w:val="24"/>
          <w:szCs w:val="24"/>
        </w:rPr>
        <w:tab/>
      </w:r>
      <w:r w:rsidRPr="00D762C9">
        <w:rPr>
          <w:rFonts w:ascii="Calibri" w:hAnsi="Calibri"/>
          <w:sz w:val="24"/>
          <w:szCs w:val="24"/>
        </w:rPr>
        <w:tab/>
        <w:t>The discount rate changed from 3.</w:t>
      </w:r>
      <w:r w:rsidR="00D762C9">
        <w:rPr>
          <w:rFonts w:ascii="Calibri" w:hAnsi="Calibri"/>
          <w:sz w:val="24"/>
          <w:szCs w:val="24"/>
        </w:rPr>
        <w:t>04</w:t>
      </w:r>
      <w:r w:rsidRPr="00D762C9">
        <w:rPr>
          <w:rFonts w:ascii="Calibri" w:hAnsi="Calibri"/>
          <w:sz w:val="24"/>
          <w:szCs w:val="24"/>
        </w:rPr>
        <w:t>% as of June 30, 201</w:t>
      </w:r>
      <w:r w:rsidR="00D762C9">
        <w:rPr>
          <w:rFonts w:ascii="Calibri" w:hAnsi="Calibri"/>
          <w:sz w:val="24"/>
          <w:szCs w:val="24"/>
        </w:rPr>
        <w:t>9</w:t>
      </w:r>
      <w:r w:rsidRPr="00D762C9">
        <w:rPr>
          <w:rFonts w:ascii="Calibri" w:hAnsi="Calibri"/>
          <w:sz w:val="24"/>
          <w:szCs w:val="24"/>
        </w:rPr>
        <w:t xml:space="preserve"> </w:t>
      </w:r>
    </w:p>
    <w:p w14:paraId="025EF604" w14:textId="646B2792" w:rsidR="0006430D" w:rsidRPr="00D762C9" w:rsidRDefault="0006430D" w:rsidP="004D6FEC">
      <w:pPr>
        <w:pStyle w:val="NoSpacing"/>
        <w:ind w:left="2880" w:firstLine="720"/>
        <w:rPr>
          <w:rFonts w:ascii="Calibri" w:hAnsi="Calibri"/>
          <w:sz w:val="24"/>
          <w:szCs w:val="24"/>
        </w:rPr>
      </w:pPr>
      <w:r w:rsidRPr="00D762C9">
        <w:rPr>
          <w:rFonts w:ascii="Calibri" w:hAnsi="Calibri"/>
          <w:sz w:val="24"/>
          <w:szCs w:val="24"/>
        </w:rPr>
        <w:t xml:space="preserve">to </w:t>
      </w:r>
      <w:r w:rsidR="00D762C9">
        <w:rPr>
          <w:rFonts w:ascii="Calibri" w:hAnsi="Calibri"/>
          <w:sz w:val="24"/>
          <w:szCs w:val="24"/>
        </w:rPr>
        <w:t>2.83</w:t>
      </w:r>
      <w:r w:rsidRPr="00D762C9">
        <w:rPr>
          <w:rFonts w:ascii="Calibri" w:hAnsi="Calibri"/>
          <w:sz w:val="24"/>
          <w:szCs w:val="24"/>
        </w:rPr>
        <w:t xml:space="preserve">% as of </w:t>
      </w:r>
      <w:r w:rsidR="004D6FEC" w:rsidRPr="00D762C9">
        <w:rPr>
          <w:rFonts w:ascii="Calibri" w:hAnsi="Calibri"/>
          <w:sz w:val="24"/>
          <w:szCs w:val="24"/>
        </w:rPr>
        <w:t>June 30, 20</w:t>
      </w:r>
      <w:r w:rsidR="00D762C9">
        <w:rPr>
          <w:rFonts w:ascii="Calibri" w:hAnsi="Calibri"/>
          <w:sz w:val="24"/>
          <w:szCs w:val="24"/>
        </w:rPr>
        <w:t>20</w:t>
      </w:r>
    </w:p>
    <w:p w14:paraId="1010B81F" w14:textId="77777777" w:rsidR="0006430D" w:rsidRPr="00D762C9" w:rsidRDefault="0006430D" w:rsidP="0006430D">
      <w:pPr>
        <w:pStyle w:val="NoSpacing"/>
        <w:rPr>
          <w:rFonts w:ascii="Calibri" w:hAnsi="Calibri"/>
          <w:sz w:val="24"/>
          <w:szCs w:val="24"/>
        </w:rPr>
      </w:pPr>
    </w:p>
    <w:p w14:paraId="6C74275F" w14:textId="77777777" w:rsidR="0006430D" w:rsidRPr="00D762C9" w:rsidRDefault="0006430D" w:rsidP="00CE37E3">
      <w:pPr>
        <w:pStyle w:val="NoSpacing"/>
        <w:jc w:val="both"/>
        <w:rPr>
          <w:rFonts w:ascii="Calibri" w:hAnsi="Calibri"/>
          <w:b/>
          <w:sz w:val="24"/>
          <w:szCs w:val="24"/>
          <w:u w:val="single"/>
        </w:rPr>
      </w:pPr>
      <w:r w:rsidRPr="00D762C9">
        <w:rPr>
          <w:rFonts w:ascii="Calibri" w:hAnsi="Calibri"/>
          <w:b/>
          <w:sz w:val="24"/>
          <w:szCs w:val="24"/>
          <w:u w:val="single"/>
        </w:rPr>
        <w:t>Roll Forward Disclosure</w:t>
      </w:r>
      <w:r w:rsidR="00E7369C" w:rsidRPr="00D762C9">
        <w:rPr>
          <w:rFonts w:ascii="Calibri" w:hAnsi="Calibri"/>
          <w:b/>
          <w:sz w:val="24"/>
          <w:szCs w:val="24"/>
          <w:u w:val="single"/>
        </w:rPr>
        <w:t>s</w:t>
      </w:r>
    </w:p>
    <w:p w14:paraId="3F175B80" w14:textId="0BAE7E06" w:rsidR="0006430D" w:rsidRPr="00D762C9" w:rsidRDefault="00E7369C" w:rsidP="00CE37E3">
      <w:pPr>
        <w:pStyle w:val="NoSpacing"/>
        <w:jc w:val="both"/>
        <w:rPr>
          <w:rFonts w:ascii="Calibri" w:hAnsi="Calibri"/>
          <w:sz w:val="24"/>
          <w:szCs w:val="24"/>
        </w:rPr>
      </w:pPr>
      <w:r w:rsidRPr="00D762C9">
        <w:rPr>
          <w:rFonts w:ascii="Calibri" w:hAnsi="Calibri"/>
          <w:sz w:val="24"/>
          <w:szCs w:val="24"/>
        </w:rPr>
        <w:t>The actuarial valuation</w:t>
      </w:r>
      <w:r w:rsidR="00464BAE" w:rsidRPr="00D762C9">
        <w:rPr>
          <w:rFonts w:ascii="Calibri" w:hAnsi="Calibri"/>
          <w:sz w:val="24"/>
          <w:szCs w:val="24"/>
        </w:rPr>
        <w:t>s</w:t>
      </w:r>
      <w:r w:rsidRPr="00D762C9">
        <w:rPr>
          <w:rFonts w:ascii="Calibri" w:hAnsi="Calibri"/>
          <w:sz w:val="24"/>
          <w:szCs w:val="24"/>
        </w:rPr>
        <w:t xml:space="preserve"> were</w:t>
      </w:r>
      <w:r w:rsidR="004D6FEC" w:rsidRPr="00D762C9">
        <w:rPr>
          <w:rFonts w:ascii="Calibri" w:hAnsi="Calibri"/>
          <w:sz w:val="24"/>
          <w:szCs w:val="24"/>
        </w:rPr>
        <w:t xml:space="preserve"> performed as of June 30, 20</w:t>
      </w:r>
      <w:r w:rsidR="00D762C9">
        <w:rPr>
          <w:rFonts w:ascii="Calibri" w:hAnsi="Calibri"/>
          <w:sz w:val="24"/>
          <w:szCs w:val="24"/>
        </w:rPr>
        <w:t>19</w:t>
      </w:r>
      <w:r w:rsidR="0006430D" w:rsidRPr="00D762C9">
        <w:rPr>
          <w:rFonts w:ascii="Calibri" w:hAnsi="Calibri"/>
          <w:sz w:val="24"/>
          <w:szCs w:val="24"/>
        </w:rPr>
        <w:t>.  Update procedures were used to roll forward the total</w:t>
      </w:r>
      <w:r w:rsidR="004D6FEC" w:rsidRPr="00D762C9">
        <w:rPr>
          <w:rFonts w:ascii="Calibri" w:hAnsi="Calibri"/>
          <w:sz w:val="24"/>
          <w:szCs w:val="24"/>
        </w:rPr>
        <w:t xml:space="preserve"> OPEB liabilit</w:t>
      </w:r>
      <w:r w:rsidR="00464BAE" w:rsidRPr="00D762C9">
        <w:rPr>
          <w:rFonts w:ascii="Calibri" w:hAnsi="Calibri"/>
          <w:sz w:val="24"/>
          <w:szCs w:val="24"/>
        </w:rPr>
        <w:t>ies</w:t>
      </w:r>
      <w:r w:rsidR="004D6FEC" w:rsidRPr="00D762C9">
        <w:rPr>
          <w:rFonts w:ascii="Calibri" w:hAnsi="Calibri"/>
          <w:sz w:val="24"/>
          <w:szCs w:val="24"/>
        </w:rPr>
        <w:t xml:space="preserve"> to June 30, 20</w:t>
      </w:r>
      <w:r w:rsidR="00D762C9">
        <w:rPr>
          <w:rFonts w:ascii="Calibri" w:hAnsi="Calibri"/>
          <w:sz w:val="24"/>
          <w:szCs w:val="24"/>
        </w:rPr>
        <w:t>20</w:t>
      </w:r>
      <w:r w:rsidR="0006430D" w:rsidRPr="00D762C9">
        <w:rPr>
          <w:rFonts w:ascii="Calibri" w:hAnsi="Calibri"/>
          <w:sz w:val="24"/>
          <w:szCs w:val="24"/>
        </w:rPr>
        <w:t>.</w:t>
      </w:r>
    </w:p>
    <w:p w14:paraId="7E1E1E3B" w14:textId="77777777" w:rsidR="00CE37E3" w:rsidRPr="008E2DBA" w:rsidRDefault="00CE37E3" w:rsidP="00CE37E3">
      <w:pPr>
        <w:pStyle w:val="NoSpacing"/>
        <w:jc w:val="both"/>
        <w:rPr>
          <w:rFonts w:ascii="Calibri" w:hAnsi="Calibri"/>
          <w:sz w:val="24"/>
          <w:szCs w:val="24"/>
          <w:highlight w:val="yellow"/>
        </w:rPr>
      </w:pPr>
    </w:p>
    <w:p w14:paraId="647AAA61" w14:textId="77777777" w:rsidR="0006430D" w:rsidRPr="00D762C9" w:rsidRDefault="00CE37E3" w:rsidP="00CE37E3">
      <w:pPr>
        <w:pStyle w:val="NoSpacing"/>
        <w:jc w:val="both"/>
        <w:rPr>
          <w:b/>
          <w:sz w:val="24"/>
          <w:szCs w:val="24"/>
        </w:rPr>
      </w:pPr>
      <w:r w:rsidRPr="00D762C9">
        <w:rPr>
          <w:b/>
          <w:sz w:val="24"/>
          <w:szCs w:val="24"/>
        </w:rPr>
        <w:t>Note 3:  Net OPEB Liability</w:t>
      </w:r>
    </w:p>
    <w:p w14:paraId="50E72946" w14:textId="77777777" w:rsidR="00CE37E3" w:rsidRPr="008E2DBA" w:rsidRDefault="00CE37E3" w:rsidP="00CE37E3">
      <w:pPr>
        <w:pStyle w:val="NoSpacing"/>
        <w:jc w:val="both"/>
        <w:rPr>
          <w:sz w:val="24"/>
          <w:szCs w:val="24"/>
          <w:highlight w:val="yellow"/>
        </w:rPr>
      </w:pPr>
      <w:r w:rsidRPr="00D762C9">
        <w:rPr>
          <w:sz w:val="24"/>
          <w:szCs w:val="24"/>
        </w:rPr>
        <w:t xml:space="preserve">The Net OPEB Liability (NOL) is calculated separately for each OPEB Trust Fund and represents that </w:t>
      </w:r>
      <w:proofErr w:type="gramStart"/>
      <w:r w:rsidRPr="00D762C9">
        <w:rPr>
          <w:sz w:val="24"/>
          <w:szCs w:val="24"/>
        </w:rPr>
        <w:t>particular Trust’s</w:t>
      </w:r>
      <w:proofErr w:type="gramEnd"/>
      <w:r w:rsidRPr="00D762C9">
        <w:rPr>
          <w:sz w:val="24"/>
          <w:szCs w:val="24"/>
        </w:rPr>
        <w:t xml:space="preserve"> Total OPEB Liability (TOL) determined in accordance with GASB No. 74 less that Trust’s fiduciary net position.  </w:t>
      </w:r>
      <w:r w:rsidR="00EE3A1E" w:rsidRPr="00D762C9">
        <w:rPr>
          <w:sz w:val="24"/>
          <w:szCs w:val="24"/>
        </w:rPr>
        <w:t>The allocation of each employer’s proportionate share of the collective Net OPEB Liability and collective OPEB Expense was determined using the employer’s payroll-related contributions over the measurement period.  This method is expected to be reflective of the employer’s long-term contribution effort as well as be transparent to individual employers and their external auditors.</w:t>
      </w:r>
    </w:p>
    <w:p w14:paraId="4F273AB2" w14:textId="77777777" w:rsidR="00CE37E3" w:rsidRPr="008E2DBA" w:rsidRDefault="00CE37E3" w:rsidP="00CE37E3">
      <w:pPr>
        <w:pStyle w:val="NoSpacing"/>
        <w:jc w:val="both"/>
        <w:rPr>
          <w:sz w:val="24"/>
          <w:szCs w:val="24"/>
          <w:highlight w:val="yellow"/>
        </w:rPr>
      </w:pPr>
    </w:p>
    <w:p w14:paraId="2F039775" w14:textId="77777777" w:rsidR="00AB219E" w:rsidRPr="008E2DBA" w:rsidRDefault="00AB219E">
      <w:pPr>
        <w:rPr>
          <w:rFonts w:ascii="Calibri" w:hAnsi="Calibri"/>
          <w:sz w:val="24"/>
          <w:szCs w:val="24"/>
          <w:highlight w:val="yellow"/>
        </w:rPr>
      </w:pPr>
      <w:r w:rsidRPr="008E2DBA">
        <w:rPr>
          <w:rFonts w:ascii="Calibri" w:hAnsi="Calibri"/>
          <w:sz w:val="24"/>
          <w:szCs w:val="24"/>
          <w:highlight w:val="yellow"/>
        </w:rPr>
        <w:br w:type="page"/>
      </w:r>
    </w:p>
    <w:p w14:paraId="37D62059" w14:textId="062D0659" w:rsidR="00CE37E3" w:rsidRPr="00F50AD4" w:rsidRDefault="00CE37E3" w:rsidP="00CE37E3">
      <w:pPr>
        <w:pStyle w:val="NoSpacing"/>
        <w:jc w:val="both"/>
        <w:rPr>
          <w:rFonts w:ascii="Calibri" w:hAnsi="Calibri"/>
          <w:sz w:val="24"/>
          <w:szCs w:val="24"/>
        </w:rPr>
      </w:pPr>
      <w:r w:rsidRPr="00F50AD4">
        <w:rPr>
          <w:rFonts w:ascii="Calibri" w:hAnsi="Calibri"/>
          <w:sz w:val="24"/>
          <w:szCs w:val="24"/>
        </w:rPr>
        <w:lastRenderedPageBreak/>
        <w:t>The following table represents the components of the net OP</w:t>
      </w:r>
      <w:r w:rsidR="009A3EB1" w:rsidRPr="00F50AD4">
        <w:rPr>
          <w:rFonts w:ascii="Calibri" w:hAnsi="Calibri"/>
          <w:sz w:val="24"/>
          <w:szCs w:val="24"/>
        </w:rPr>
        <w:t xml:space="preserve">EB liability as of June 30, </w:t>
      </w:r>
      <w:r w:rsidR="00F50AD4">
        <w:rPr>
          <w:rFonts w:ascii="Calibri" w:hAnsi="Calibri"/>
          <w:sz w:val="24"/>
          <w:szCs w:val="24"/>
        </w:rPr>
        <w:t xml:space="preserve">2020, </w:t>
      </w:r>
      <w:r w:rsidR="009A3EB1" w:rsidRPr="00F50AD4">
        <w:rPr>
          <w:rFonts w:ascii="Calibri" w:hAnsi="Calibri"/>
          <w:sz w:val="24"/>
          <w:szCs w:val="24"/>
        </w:rPr>
        <w:t>201</w:t>
      </w:r>
      <w:r w:rsidR="00AE48BC" w:rsidRPr="00F50AD4">
        <w:rPr>
          <w:rFonts w:ascii="Calibri" w:hAnsi="Calibri"/>
          <w:sz w:val="24"/>
          <w:szCs w:val="24"/>
        </w:rPr>
        <w:t>9</w:t>
      </w:r>
      <w:r w:rsidR="00464BAE" w:rsidRPr="00F50AD4">
        <w:rPr>
          <w:rFonts w:ascii="Calibri" w:hAnsi="Calibri"/>
          <w:sz w:val="24"/>
          <w:szCs w:val="24"/>
        </w:rPr>
        <w:t>, 2018, and 2017</w:t>
      </w:r>
      <w:r w:rsidRPr="00F50AD4">
        <w:rPr>
          <w:rFonts w:ascii="Calibri" w:hAnsi="Calibri"/>
          <w:sz w:val="24"/>
          <w:szCs w:val="24"/>
        </w:rPr>
        <w:t>:</w:t>
      </w:r>
    </w:p>
    <w:p w14:paraId="2CA3BCB1" w14:textId="77777777" w:rsidR="00CE37E3" w:rsidRPr="00F50AD4" w:rsidRDefault="00CE37E3" w:rsidP="00CE37E3">
      <w:pPr>
        <w:pStyle w:val="NoSpacing"/>
        <w:rPr>
          <w:rFonts w:ascii="Calibri" w:hAnsi="Calibri"/>
          <w:sz w:val="16"/>
          <w:szCs w:val="16"/>
        </w:rPr>
      </w:pPr>
    </w:p>
    <w:bookmarkStart w:id="0" w:name="_MON_1568189393"/>
    <w:bookmarkEnd w:id="0"/>
    <w:p w14:paraId="208A9B48" w14:textId="53A42608" w:rsidR="00CE37E3" w:rsidRPr="00F50AD4" w:rsidRDefault="00F50AD4" w:rsidP="00F50AD4">
      <w:pPr>
        <w:pStyle w:val="NoSpacing"/>
        <w:jc w:val="both"/>
        <w:rPr>
          <w:rFonts w:ascii="Calibri" w:hAnsi="Calibri"/>
          <w:sz w:val="24"/>
          <w:szCs w:val="24"/>
        </w:rPr>
      </w:pPr>
      <w:r w:rsidRPr="00F50AD4">
        <w:rPr>
          <w:rFonts w:ascii="Calibri" w:hAnsi="Calibri"/>
          <w:sz w:val="24"/>
          <w:szCs w:val="24"/>
        </w:rPr>
        <w:object w:dxaOrig="10392" w:dyaOrig="6247" w14:anchorId="4C3E01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75pt;height:270.75pt" o:ole="">
            <v:imagedata r:id="rId9" o:title=""/>
          </v:shape>
          <o:OLEObject Type="Embed" ProgID="Excel.Sheet.12" ShapeID="_x0000_i1025" DrawAspect="Content" ObjectID="_1687331425" r:id="rId10"/>
        </w:object>
      </w:r>
      <w:r w:rsidR="00CE37E3" w:rsidRPr="00F50AD4">
        <w:rPr>
          <w:rFonts w:ascii="Calibri" w:hAnsi="Calibri"/>
          <w:sz w:val="24"/>
          <w:szCs w:val="24"/>
        </w:rPr>
        <w:t>The TOL is calculated by the Trusts’ actuary, and each Trust’s fiduciary net position is reported in the Trust’s financial statements.  The NOL is disclosed in accordance with the requirements of GASB No. 74 in the Trusts’ notes to the financial statements and required supplementary information.  Liability calculations performed by the Trusts’ actuary for the purpose of satisfying the requirements of GASB Nos. 74 and 75 and are not applicable for other purposes, such as determining the Trusts’ funding requirements.</w:t>
      </w:r>
    </w:p>
    <w:p w14:paraId="0073EFDA" w14:textId="77777777" w:rsidR="00AB219E" w:rsidRPr="008E2DBA" w:rsidRDefault="00AB219E" w:rsidP="00CE37E3">
      <w:pPr>
        <w:pStyle w:val="NoSpacing"/>
        <w:jc w:val="both"/>
        <w:rPr>
          <w:rFonts w:ascii="Calibri" w:hAnsi="Calibri"/>
          <w:sz w:val="12"/>
          <w:szCs w:val="12"/>
          <w:highlight w:val="yellow"/>
        </w:rPr>
      </w:pPr>
    </w:p>
    <w:p w14:paraId="7AC537BD" w14:textId="77777777" w:rsidR="00751BC9" w:rsidRPr="00F50AD4" w:rsidRDefault="00751BC9" w:rsidP="00751BC9">
      <w:pPr>
        <w:pStyle w:val="NoSpacing"/>
        <w:rPr>
          <w:rFonts w:ascii="Calibri" w:hAnsi="Calibri"/>
          <w:b/>
          <w:sz w:val="24"/>
          <w:szCs w:val="24"/>
        </w:rPr>
      </w:pPr>
      <w:r w:rsidRPr="00F50AD4">
        <w:rPr>
          <w:rFonts w:ascii="Calibri" w:hAnsi="Calibri"/>
          <w:b/>
          <w:sz w:val="24"/>
          <w:szCs w:val="24"/>
          <w:u w:val="single"/>
        </w:rPr>
        <w:t>Single Discount Rate</w:t>
      </w:r>
    </w:p>
    <w:p w14:paraId="7AF83AAE" w14:textId="6CB3B7FC" w:rsidR="00751BC9" w:rsidRPr="00F50AD4" w:rsidRDefault="009A3EB1" w:rsidP="006D484F">
      <w:pPr>
        <w:pStyle w:val="NoSpacing"/>
        <w:jc w:val="both"/>
        <w:rPr>
          <w:rFonts w:ascii="Calibri" w:hAnsi="Calibri"/>
          <w:sz w:val="24"/>
          <w:szCs w:val="24"/>
        </w:rPr>
      </w:pPr>
      <w:r w:rsidRPr="00F50AD4">
        <w:rPr>
          <w:rFonts w:ascii="Calibri" w:hAnsi="Calibri"/>
          <w:sz w:val="24"/>
          <w:szCs w:val="24"/>
        </w:rPr>
        <w:t xml:space="preserve">The Single Discount Rate of </w:t>
      </w:r>
      <w:r w:rsidR="00F50AD4" w:rsidRPr="00F50AD4">
        <w:rPr>
          <w:rFonts w:ascii="Calibri" w:hAnsi="Calibri"/>
          <w:sz w:val="24"/>
          <w:szCs w:val="24"/>
        </w:rPr>
        <w:t>2</w:t>
      </w:r>
      <w:r w:rsidRPr="00F50AD4">
        <w:rPr>
          <w:rFonts w:ascii="Calibri" w:hAnsi="Calibri"/>
          <w:sz w:val="24"/>
          <w:szCs w:val="24"/>
        </w:rPr>
        <w:t>.</w:t>
      </w:r>
      <w:r w:rsidR="00F50AD4" w:rsidRPr="00F50AD4">
        <w:rPr>
          <w:rFonts w:ascii="Calibri" w:hAnsi="Calibri"/>
          <w:sz w:val="24"/>
          <w:szCs w:val="24"/>
        </w:rPr>
        <w:t>45</w:t>
      </w:r>
      <w:r w:rsidR="00751BC9" w:rsidRPr="00F50AD4">
        <w:rPr>
          <w:rFonts w:ascii="Calibri" w:hAnsi="Calibri"/>
          <w:sz w:val="24"/>
          <w:szCs w:val="24"/>
        </w:rPr>
        <w:t xml:space="preserve">% was used to measure the total OPEB liability for the SCRHITF.  The accounting policy for this plan is to set the Single Discount Rate equal to the prevailing municipal bond rate.  Due to the plan’s investment and funding policies, the difference between a blended discount rate and the municipal bond rate would be less than several basis points (several hundredths of one percent).  </w:t>
      </w:r>
    </w:p>
    <w:p w14:paraId="1FF015AE" w14:textId="77777777" w:rsidR="00751BC9" w:rsidRPr="00F50AD4" w:rsidRDefault="00751BC9" w:rsidP="00EE3A1E">
      <w:pPr>
        <w:pStyle w:val="NoSpacing"/>
        <w:jc w:val="both"/>
        <w:rPr>
          <w:rFonts w:ascii="Calibri" w:hAnsi="Calibri"/>
          <w:sz w:val="12"/>
          <w:szCs w:val="12"/>
        </w:rPr>
      </w:pPr>
    </w:p>
    <w:p w14:paraId="587C8069" w14:textId="3B362140" w:rsidR="0095119E" w:rsidRPr="00F50AD4" w:rsidRDefault="009A3EB1" w:rsidP="002F08E0">
      <w:pPr>
        <w:pStyle w:val="NoSpacing"/>
        <w:jc w:val="both"/>
        <w:rPr>
          <w:rFonts w:ascii="Calibri" w:hAnsi="Calibri"/>
          <w:sz w:val="24"/>
          <w:szCs w:val="24"/>
        </w:rPr>
      </w:pPr>
      <w:r w:rsidRPr="00F50AD4">
        <w:rPr>
          <w:rFonts w:ascii="Calibri" w:hAnsi="Calibri"/>
          <w:sz w:val="24"/>
          <w:szCs w:val="24"/>
        </w:rPr>
        <w:t xml:space="preserve">A Single Discount Rate of </w:t>
      </w:r>
      <w:r w:rsidR="00F50AD4" w:rsidRPr="00F50AD4">
        <w:rPr>
          <w:rFonts w:ascii="Calibri" w:hAnsi="Calibri"/>
          <w:sz w:val="24"/>
          <w:szCs w:val="24"/>
        </w:rPr>
        <w:t>2</w:t>
      </w:r>
      <w:r w:rsidRPr="00F50AD4">
        <w:rPr>
          <w:rFonts w:ascii="Calibri" w:hAnsi="Calibri"/>
          <w:sz w:val="24"/>
          <w:szCs w:val="24"/>
        </w:rPr>
        <w:t>.</w:t>
      </w:r>
      <w:r w:rsidR="00F50AD4" w:rsidRPr="00F50AD4">
        <w:rPr>
          <w:rFonts w:ascii="Calibri" w:hAnsi="Calibri"/>
          <w:sz w:val="24"/>
          <w:szCs w:val="24"/>
        </w:rPr>
        <w:t>83</w:t>
      </w:r>
      <w:r w:rsidR="00751BC9" w:rsidRPr="00F50AD4">
        <w:rPr>
          <w:rFonts w:ascii="Calibri" w:hAnsi="Calibri"/>
          <w:sz w:val="24"/>
          <w:szCs w:val="24"/>
        </w:rPr>
        <w:t xml:space="preserve">% was used to measure the total OPEB liability for the SCLTDITF.  This Single Discount Rate was based on an expected rate of return on plan investments of </w:t>
      </w:r>
      <w:r w:rsidR="00AE48BC" w:rsidRPr="00F50AD4">
        <w:rPr>
          <w:rFonts w:ascii="Calibri" w:hAnsi="Calibri"/>
          <w:sz w:val="24"/>
          <w:szCs w:val="24"/>
        </w:rPr>
        <w:t>3</w:t>
      </w:r>
      <w:r w:rsidR="00751BC9" w:rsidRPr="00F50AD4">
        <w:rPr>
          <w:rFonts w:ascii="Calibri" w:hAnsi="Calibri"/>
          <w:sz w:val="24"/>
          <w:szCs w:val="24"/>
        </w:rPr>
        <w:t>.00% and a municipal bond rate</w:t>
      </w:r>
      <w:r w:rsidR="002E346A" w:rsidRPr="00F50AD4">
        <w:rPr>
          <w:rFonts w:ascii="Calibri" w:hAnsi="Calibri"/>
          <w:sz w:val="24"/>
          <w:szCs w:val="24"/>
        </w:rPr>
        <w:t xml:space="preserve"> of</w:t>
      </w:r>
      <w:r w:rsidR="00751BC9" w:rsidRPr="00F50AD4">
        <w:rPr>
          <w:rFonts w:ascii="Calibri" w:hAnsi="Calibri"/>
          <w:sz w:val="24"/>
          <w:szCs w:val="24"/>
        </w:rPr>
        <w:t xml:space="preserve"> </w:t>
      </w:r>
      <w:r w:rsidR="00F50AD4" w:rsidRPr="00F50AD4">
        <w:rPr>
          <w:rFonts w:ascii="Calibri" w:hAnsi="Calibri"/>
          <w:sz w:val="24"/>
          <w:szCs w:val="24"/>
        </w:rPr>
        <w:t>2</w:t>
      </w:r>
      <w:r w:rsidR="00751BC9" w:rsidRPr="00F50AD4">
        <w:rPr>
          <w:rFonts w:ascii="Calibri" w:hAnsi="Calibri"/>
          <w:sz w:val="24"/>
          <w:szCs w:val="24"/>
        </w:rPr>
        <w:t>.</w:t>
      </w:r>
      <w:r w:rsidR="00F50AD4" w:rsidRPr="00F50AD4">
        <w:rPr>
          <w:rFonts w:ascii="Calibri" w:hAnsi="Calibri"/>
          <w:sz w:val="24"/>
          <w:szCs w:val="24"/>
        </w:rPr>
        <w:t>45</w:t>
      </w:r>
      <w:r w:rsidR="00751BC9" w:rsidRPr="00F50AD4">
        <w:rPr>
          <w:rFonts w:ascii="Calibri" w:hAnsi="Calibri"/>
          <w:sz w:val="24"/>
          <w:szCs w:val="24"/>
        </w:rPr>
        <w:t xml:space="preserve">%.  The projection of cash flows to determine this Single Discount Rate assumed that employer contributions will remain </w:t>
      </w:r>
      <w:r w:rsidR="00F60677" w:rsidRPr="00F50AD4">
        <w:rPr>
          <w:rFonts w:ascii="Calibri" w:hAnsi="Calibri"/>
          <w:sz w:val="24"/>
          <w:szCs w:val="24"/>
        </w:rPr>
        <w:t xml:space="preserve">at </w:t>
      </w:r>
      <w:r w:rsidR="00751BC9" w:rsidRPr="00F50AD4">
        <w:rPr>
          <w:rFonts w:ascii="Calibri" w:hAnsi="Calibri"/>
          <w:sz w:val="24"/>
          <w:szCs w:val="24"/>
        </w:rPr>
        <w:t>$38.64 per year for each covered active employee.  Based on these assumptions, the plan’s Fiduciary Net Position and future contributions were sufficient to finance the benefit payments through the year 20</w:t>
      </w:r>
      <w:r w:rsidR="00F50AD4" w:rsidRPr="00F50AD4">
        <w:rPr>
          <w:rFonts w:ascii="Calibri" w:hAnsi="Calibri"/>
          <w:sz w:val="24"/>
          <w:szCs w:val="24"/>
        </w:rPr>
        <w:t>41</w:t>
      </w:r>
      <w:r w:rsidR="00751BC9" w:rsidRPr="00F50AD4">
        <w:rPr>
          <w:rFonts w:ascii="Calibri" w:hAnsi="Calibri"/>
          <w:sz w:val="24"/>
          <w:szCs w:val="24"/>
        </w:rPr>
        <w:t xml:space="preserve">.  As a result, the long-term expected rate of return on plan investments was applied to project benefit </w:t>
      </w:r>
      <w:r w:rsidR="00751BC9" w:rsidRPr="00F50AD4">
        <w:rPr>
          <w:rFonts w:ascii="Calibri" w:hAnsi="Calibri"/>
          <w:sz w:val="24"/>
          <w:szCs w:val="24"/>
        </w:rPr>
        <w:lastRenderedPageBreak/>
        <w:t>payments through the year 20</w:t>
      </w:r>
      <w:r w:rsidR="00F50AD4" w:rsidRPr="00F50AD4">
        <w:rPr>
          <w:rFonts w:ascii="Calibri" w:hAnsi="Calibri"/>
          <w:sz w:val="24"/>
          <w:szCs w:val="24"/>
        </w:rPr>
        <w:t>41</w:t>
      </w:r>
      <w:r w:rsidR="00751BC9" w:rsidRPr="00F50AD4">
        <w:rPr>
          <w:rFonts w:ascii="Calibri" w:hAnsi="Calibri"/>
          <w:sz w:val="24"/>
          <w:szCs w:val="24"/>
        </w:rPr>
        <w:t>, and the municipal bond rate was applied to all benefit payments after that date.</w:t>
      </w:r>
    </w:p>
    <w:p w14:paraId="26A665A0" w14:textId="77777777" w:rsidR="00F50AD4" w:rsidRPr="00F50AD4" w:rsidRDefault="00F50AD4" w:rsidP="002F08E0">
      <w:pPr>
        <w:pStyle w:val="NoSpacing"/>
        <w:jc w:val="both"/>
        <w:rPr>
          <w:rFonts w:ascii="Calibri" w:hAnsi="Calibri"/>
          <w:b/>
          <w:sz w:val="24"/>
          <w:szCs w:val="24"/>
          <w:u w:val="single"/>
        </w:rPr>
      </w:pPr>
    </w:p>
    <w:p w14:paraId="3B5731EF" w14:textId="77777777" w:rsidR="00CE37E3" w:rsidRPr="00F50AD4" w:rsidRDefault="00CE37E3" w:rsidP="00CE37E3">
      <w:pPr>
        <w:pStyle w:val="NoSpacing"/>
        <w:jc w:val="both"/>
        <w:rPr>
          <w:rFonts w:ascii="Calibri" w:hAnsi="Calibri"/>
          <w:b/>
          <w:sz w:val="24"/>
          <w:szCs w:val="24"/>
          <w:u w:val="single"/>
        </w:rPr>
      </w:pPr>
      <w:r w:rsidRPr="00F50AD4">
        <w:rPr>
          <w:rFonts w:ascii="Calibri" w:hAnsi="Calibri"/>
          <w:b/>
          <w:sz w:val="24"/>
          <w:szCs w:val="24"/>
          <w:u w:val="single"/>
        </w:rPr>
        <w:t>Long-term Expected Rate of Return</w:t>
      </w:r>
    </w:p>
    <w:p w14:paraId="1B2365FC" w14:textId="77777777" w:rsidR="00CE37E3" w:rsidRPr="00F50AD4" w:rsidRDefault="006D484F" w:rsidP="006D484F">
      <w:pPr>
        <w:pStyle w:val="NoSpacing"/>
        <w:jc w:val="both"/>
        <w:rPr>
          <w:sz w:val="24"/>
          <w:szCs w:val="24"/>
        </w:rPr>
      </w:pPr>
      <w:r w:rsidRPr="00F50AD4">
        <w:rPr>
          <w:sz w:val="24"/>
          <w:szCs w:val="24"/>
        </w:rPr>
        <w:t>The long-term expected rate of return represent</w:t>
      </w:r>
      <w:r w:rsidR="00074225" w:rsidRPr="00F50AD4">
        <w:rPr>
          <w:sz w:val="24"/>
          <w:szCs w:val="24"/>
        </w:rPr>
        <w:t>s</w:t>
      </w:r>
      <w:r w:rsidRPr="00F50AD4">
        <w:rPr>
          <w:sz w:val="24"/>
          <w:szCs w:val="24"/>
        </w:rPr>
        <w:t xml:space="preserve"> assumptions developed using an arithmetic building block approach primarily based on consensus expectations and </w:t>
      </w:r>
      <w:proofErr w:type="gramStart"/>
      <w:r w:rsidRPr="00F50AD4">
        <w:rPr>
          <w:sz w:val="24"/>
          <w:szCs w:val="24"/>
        </w:rPr>
        <w:t>market based</w:t>
      </w:r>
      <w:proofErr w:type="gramEnd"/>
      <w:r w:rsidRPr="00F50AD4">
        <w:rPr>
          <w:sz w:val="24"/>
          <w:szCs w:val="24"/>
        </w:rPr>
        <w:t xml:space="preserve"> inputs.  The expected returns, along with the expected inflation rate, form the basis for the target asset allocation adopted at the beginning of the 201</w:t>
      </w:r>
      <w:r w:rsidR="00982E23" w:rsidRPr="00F50AD4">
        <w:rPr>
          <w:sz w:val="24"/>
          <w:szCs w:val="24"/>
        </w:rPr>
        <w:t>8</w:t>
      </w:r>
      <w:r w:rsidRPr="00F50AD4">
        <w:rPr>
          <w:sz w:val="24"/>
          <w:szCs w:val="24"/>
        </w:rPr>
        <w:t xml:space="preserve"> fiscal year.  The long-term expected rate of return is produced by weighting the expected future real rates of return by the target allocation percentage and adding expected inflation.</w:t>
      </w:r>
      <w:r w:rsidR="00705116" w:rsidRPr="00F50AD4">
        <w:rPr>
          <w:sz w:val="24"/>
          <w:szCs w:val="24"/>
        </w:rPr>
        <w:t xml:space="preserve">  This information is summarized in the following table:</w:t>
      </w:r>
    </w:p>
    <w:p w14:paraId="380C24F4" w14:textId="77777777" w:rsidR="00705116" w:rsidRPr="008E2DBA" w:rsidRDefault="00705116" w:rsidP="006D484F">
      <w:pPr>
        <w:pStyle w:val="NoSpacing"/>
        <w:jc w:val="both"/>
        <w:rPr>
          <w:sz w:val="20"/>
          <w:szCs w:val="20"/>
          <w:highlight w:val="yellow"/>
        </w:rPr>
      </w:pPr>
    </w:p>
    <w:bookmarkStart w:id="1" w:name="_MON_1568190750"/>
    <w:bookmarkEnd w:id="1"/>
    <w:p w14:paraId="44F26527" w14:textId="21D60EBA" w:rsidR="000F6E25" w:rsidRPr="00F50AD4" w:rsidRDefault="00F50AD4" w:rsidP="00A542F1">
      <w:pPr>
        <w:pStyle w:val="NoSpacing"/>
        <w:jc w:val="both"/>
        <w:rPr>
          <w:rFonts w:ascii="Calibri" w:hAnsi="Calibri"/>
          <w:sz w:val="24"/>
          <w:szCs w:val="24"/>
        </w:rPr>
      </w:pPr>
      <w:r w:rsidRPr="00F50AD4">
        <w:rPr>
          <w:rFonts w:ascii="Calibri" w:hAnsi="Calibri"/>
          <w:sz w:val="24"/>
          <w:szCs w:val="24"/>
        </w:rPr>
        <w:object w:dxaOrig="10246" w:dyaOrig="8635" w14:anchorId="01C6EC56">
          <v:shape id="_x0000_i1026" type="#_x0000_t75" style="width:512.25pt;height:393pt" o:ole="">
            <v:imagedata r:id="rId11" o:title=""/>
          </v:shape>
          <o:OLEObject Type="Embed" ProgID="Excel.Sheet.12" ShapeID="_x0000_i1026" DrawAspect="Content" ObjectID="_1687331426" r:id="rId12"/>
        </w:object>
      </w:r>
    </w:p>
    <w:p w14:paraId="221F7212" w14:textId="77777777" w:rsidR="00EF7C06" w:rsidRPr="008E2DBA" w:rsidRDefault="00EF7C06">
      <w:pPr>
        <w:rPr>
          <w:rFonts w:ascii="Calibri" w:hAnsi="Calibri"/>
          <w:b/>
          <w:sz w:val="24"/>
          <w:szCs w:val="24"/>
          <w:highlight w:val="yellow"/>
          <w:u w:val="single"/>
        </w:rPr>
      </w:pPr>
      <w:r w:rsidRPr="008E2DBA">
        <w:rPr>
          <w:rFonts w:ascii="Calibri" w:hAnsi="Calibri"/>
          <w:b/>
          <w:sz w:val="24"/>
          <w:szCs w:val="24"/>
          <w:highlight w:val="yellow"/>
          <w:u w:val="single"/>
        </w:rPr>
        <w:br w:type="page"/>
      </w:r>
    </w:p>
    <w:p w14:paraId="2B67DB68" w14:textId="77777777" w:rsidR="00A542F1" w:rsidRPr="00E0609C" w:rsidRDefault="00A542F1" w:rsidP="00A542F1">
      <w:pPr>
        <w:pStyle w:val="NoSpacing"/>
        <w:jc w:val="both"/>
        <w:rPr>
          <w:rFonts w:ascii="Calibri" w:hAnsi="Calibri"/>
          <w:b/>
          <w:sz w:val="24"/>
          <w:szCs w:val="24"/>
          <w:u w:val="single"/>
        </w:rPr>
      </w:pPr>
      <w:r w:rsidRPr="00E0609C">
        <w:rPr>
          <w:rFonts w:ascii="Calibri" w:hAnsi="Calibri"/>
          <w:b/>
          <w:sz w:val="24"/>
          <w:szCs w:val="24"/>
          <w:u w:val="single"/>
        </w:rPr>
        <w:lastRenderedPageBreak/>
        <w:t>Sensitivity Analysis</w:t>
      </w:r>
    </w:p>
    <w:p w14:paraId="4A58E778" w14:textId="3D2888F1" w:rsidR="00A542F1" w:rsidRPr="00E0609C" w:rsidRDefault="00A542F1" w:rsidP="00A542F1">
      <w:pPr>
        <w:pStyle w:val="NoSpacing"/>
        <w:jc w:val="both"/>
        <w:rPr>
          <w:rFonts w:ascii="Calibri" w:hAnsi="Calibri"/>
          <w:sz w:val="24"/>
          <w:szCs w:val="24"/>
        </w:rPr>
      </w:pPr>
      <w:r w:rsidRPr="00E0609C">
        <w:rPr>
          <w:rFonts w:ascii="Calibri" w:hAnsi="Calibri"/>
          <w:sz w:val="24"/>
          <w:szCs w:val="24"/>
        </w:rPr>
        <w:t>The following table presents the SCRHITF’s net OPEB liability calculated usi</w:t>
      </w:r>
      <w:r w:rsidR="009A3EB1" w:rsidRPr="00E0609C">
        <w:rPr>
          <w:rFonts w:ascii="Calibri" w:hAnsi="Calibri"/>
          <w:sz w:val="24"/>
          <w:szCs w:val="24"/>
        </w:rPr>
        <w:t xml:space="preserve">ng a Single Discount Rate of </w:t>
      </w:r>
      <w:r w:rsidR="00E0609C" w:rsidRPr="00E0609C">
        <w:rPr>
          <w:rFonts w:ascii="Calibri" w:hAnsi="Calibri"/>
          <w:sz w:val="24"/>
          <w:szCs w:val="24"/>
        </w:rPr>
        <w:t>2</w:t>
      </w:r>
      <w:r w:rsidR="009A3EB1" w:rsidRPr="00E0609C">
        <w:rPr>
          <w:rFonts w:ascii="Calibri" w:hAnsi="Calibri"/>
          <w:sz w:val="24"/>
          <w:szCs w:val="24"/>
        </w:rPr>
        <w:t>.</w:t>
      </w:r>
      <w:r w:rsidR="00E0609C" w:rsidRPr="00E0609C">
        <w:rPr>
          <w:rFonts w:ascii="Calibri" w:hAnsi="Calibri"/>
          <w:sz w:val="24"/>
          <w:szCs w:val="24"/>
        </w:rPr>
        <w:t>45</w:t>
      </w:r>
      <w:r w:rsidRPr="00E0609C">
        <w:rPr>
          <w:rFonts w:ascii="Calibri" w:hAnsi="Calibri"/>
          <w:sz w:val="24"/>
          <w:szCs w:val="24"/>
        </w:rPr>
        <w:t>%, as well as what the plan’s net OPEB liability would be if it were calculated using a Single Discount Rate that is one percent lower or one percent higher:</w:t>
      </w:r>
    </w:p>
    <w:p w14:paraId="4FB4B365" w14:textId="77777777" w:rsidR="00A542F1" w:rsidRPr="00E0609C" w:rsidRDefault="00A542F1" w:rsidP="00A542F1">
      <w:pPr>
        <w:pStyle w:val="NoSpacing"/>
        <w:ind w:left="720"/>
        <w:rPr>
          <w:rFonts w:ascii="Calibri" w:hAnsi="Calibri"/>
          <w:noProof/>
          <w:sz w:val="20"/>
          <w:szCs w:val="20"/>
        </w:rPr>
      </w:pPr>
    </w:p>
    <w:bookmarkStart w:id="2" w:name="_MON_1568191358"/>
    <w:bookmarkEnd w:id="2"/>
    <w:p w14:paraId="62530A7F" w14:textId="6DA7298D" w:rsidR="00A542F1" w:rsidRPr="00E0609C" w:rsidRDefault="00E0609C" w:rsidP="00A542F1">
      <w:pPr>
        <w:pStyle w:val="NoSpacing"/>
        <w:jc w:val="center"/>
        <w:rPr>
          <w:rFonts w:ascii="Calibri" w:hAnsi="Calibri"/>
          <w:sz w:val="24"/>
          <w:szCs w:val="24"/>
        </w:rPr>
      </w:pPr>
      <w:r w:rsidRPr="00E0609C">
        <w:rPr>
          <w:rFonts w:ascii="Calibri" w:hAnsi="Calibri"/>
          <w:sz w:val="24"/>
          <w:szCs w:val="24"/>
        </w:rPr>
        <w:object w:dxaOrig="9035" w:dyaOrig="1763" w14:anchorId="47653E6A">
          <v:shape id="_x0000_i1027" type="#_x0000_t75" style="width:451.5pt;height:88.5pt" o:ole="">
            <v:imagedata r:id="rId13" o:title=""/>
          </v:shape>
          <o:OLEObject Type="Embed" ProgID="Excel.Sheet.12" ShapeID="_x0000_i1027" DrawAspect="Content" ObjectID="_1687331427" r:id="rId14"/>
        </w:object>
      </w:r>
    </w:p>
    <w:p w14:paraId="26C69E0D" w14:textId="77777777" w:rsidR="00A542F1" w:rsidRPr="00E0609C" w:rsidRDefault="00A542F1" w:rsidP="00A93C23">
      <w:pPr>
        <w:jc w:val="both"/>
        <w:rPr>
          <w:rFonts w:ascii="Calibri" w:hAnsi="Calibri"/>
          <w:sz w:val="24"/>
          <w:szCs w:val="24"/>
        </w:rPr>
      </w:pPr>
      <w:r w:rsidRPr="00E0609C">
        <w:rPr>
          <w:rFonts w:ascii="Calibri" w:hAnsi="Calibri"/>
          <w:sz w:val="24"/>
          <w:szCs w:val="24"/>
        </w:rPr>
        <w:t>Regarding the sensitivity of the SCRHITF’s net OPEB liability to changes in the healthcare cost trend rates, the following table presents the plan’s net OPEB liability, calculated using the assumed trend rates as well as what the plan’s net OPEB liability would be if were calculated using a trend rate that is one percent lower or one percent higher:</w:t>
      </w:r>
    </w:p>
    <w:bookmarkStart w:id="3" w:name="_MON_1568191603"/>
    <w:bookmarkEnd w:id="3"/>
    <w:p w14:paraId="2CAA327D" w14:textId="3F85CAFF" w:rsidR="00A542F1" w:rsidRPr="00E0609C" w:rsidRDefault="00E0609C" w:rsidP="00A542F1">
      <w:pPr>
        <w:pStyle w:val="NoSpacing"/>
        <w:jc w:val="center"/>
        <w:rPr>
          <w:rFonts w:ascii="Calibri" w:hAnsi="Calibri"/>
          <w:sz w:val="24"/>
          <w:szCs w:val="24"/>
        </w:rPr>
      </w:pPr>
      <w:r w:rsidRPr="00E0609C">
        <w:rPr>
          <w:rFonts w:ascii="Calibri" w:hAnsi="Calibri"/>
          <w:sz w:val="24"/>
          <w:szCs w:val="24"/>
        </w:rPr>
        <w:object w:dxaOrig="9035" w:dyaOrig="1181" w14:anchorId="12183192">
          <v:shape id="_x0000_i1028" type="#_x0000_t75" style="width:451.5pt;height:59.25pt" o:ole="">
            <v:imagedata r:id="rId15" o:title=""/>
          </v:shape>
          <o:OLEObject Type="Embed" ProgID="Excel.Sheet.12" ShapeID="_x0000_i1028" DrawAspect="Content" ObjectID="_1687331428" r:id="rId16"/>
        </w:object>
      </w:r>
    </w:p>
    <w:p w14:paraId="185FB01E" w14:textId="77777777" w:rsidR="000F6E25" w:rsidRPr="00E0609C" w:rsidRDefault="000F6E25" w:rsidP="00A542F1">
      <w:pPr>
        <w:pStyle w:val="NoSpacing"/>
        <w:jc w:val="both"/>
        <w:rPr>
          <w:rFonts w:ascii="Calibri" w:hAnsi="Calibri"/>
          <w:sz w:val="24"/>
          <w:szCs w:val="24"/>
        </w:rPr>
      </w:pPr>
    </w:p>
    <w:p w14:paraId="29F4260C" w14:textId="59C705AF" w:rsidR="00A542F1" w:rsidRPr="00E0609C" w:rsidRDefault="00A542F1" w:rsidP="00A542F1">
      <w:pPr>
        <w:pStyle w:val="NoSpacing"/>
        <w:jc w:val="both"/>
        <w:rPr>
          <w:rFonts w:ascii="Calibri" w:hAnsi="Calibri"/>
          <w:sz w:val="24"/>
          <w:szCs w:val="24"/>
        </w:rPr>
      </w:pPr>
      <w:r w:rsidRPr="00E0609C">
        <w:rPr>
          <w:rFonts w:ascii="Calibri" w:hAnsi="Calibri"/>
          <w:sz w:val="24"/>
          <w:szCs w:val="24"/>
        </w:rPr>
        <w:t>The following table presents the SCLTDITF’s net OPEB liability calculated usin</w:t>
      </w:r>
      <w:r w:rsidR="007A4133" w:rsidRPr="00E0609C">
        <w:rPr>
          <w:rFonts w:ascii="Calibri" w:hAnsi="Calibri"/>
          <w:sz w:val="24"/>
          <w:szCs w:val="24"/>
        </w:rPr>
        <w:t xml:space="preserve">g a Single Discount Rate of </w:t>
      </w:r>
      <w:r w:rsidR="00E0609C" w:rsidRPr="00E0609C">
        <w:rPr>
          <w:rFonts w:ascii="Calibri" w:hAnsi="Calibri"/>
          <w:sz w:val="24"/>
          <w:szCs w:val="24"/>
        </w:rPr>
        <w:t>2</w:t>
      </w:r>
      <w:r w:rsidR="007A4133" w:rsidRPr="00E0609C">
        <w:rPr>
          <w:rFonts w:ascii="Calibri" w:hAnsi="Calibri"/>
          <w:sz w:val="24"/>
          <w:szCs w:val="24"/>
        </w:rPr>
        <w:t>.</w:t>
      </w:r>
      <w:r w:rsidR="00E0609C" w:rsidRPr="00E0609C">
        <w:rPr>
          <w:rFonts w:ascii="Calibri" w:hAnsi="Calibri"/>
          <w:sz w:val="24"/>
          <w:szCs w:val="24"/>
        </w:rPr>
        <w:t>83</w:t>
      </w:r>
      <w:r w:rsidRPr="00E0609C">
        <w:rPr>
          <w:rFonts w:ascii="Calibri" w:hAnsi="Calibri"/>
          <w:sz w:val="24"/>
          <w:szCs w:val="24"/>
        </w:rPr>
        <w:t>%, as well as what the plan’s net OPEB liability would be if it were calculated using a Single Discount Rate that is one percent lower or one percent higher:</w:t>
      </w:r>
    </w:p>
    <w:p w14:paraId="16646836" w14:textId="77777777" w:rsidR="00A542F1" w:rsidRPr="00E0609C" w:rsidRDefault="00A542F1" w:rsidP="00A542F1">
      <w:pPr>
        <w:pStyle w:val="NoSpacing"/>
        <w:ind w:left="720"/>
        <w:rPr>
          <w:rFonts w:ascii="Calibri" w:hAnsi="Calibri"/>
          <w:noProof/>
          <w:sz w:val="24"/>
          <w:szCs w:val="24"/>
        </w:rPr>
      </w:pPr>
    </w:p>
    <w:bookmarkStart w:id="4" w:name="_MON_1568191751"/>
    <w:bookmarkEnd w:id="4"/>
    <w:p w14:paraId="24FEAEE5" w14:textId="3F56439B" w:rsidR="00A542F1" w:rsidRPr="00E0609C" w:rsidRDefault="00E0609C" w:rsidP="00A542F1">
      <w:pPr>
        <w:pStyle w:val="NoSpacing"/>
        <w:jc w:val="center"/>
        <w:rPr>
          <w:rFonts w:ascii="Calibri" w:hAnsi="Calibri"/>
          <w:sz w:val="24"/>
          <w:szCs w:val="24"/>
        </w:rPr>
      </w:pPr>
      <w:r w:rsidRPr="00E0609C">
        <w:rPr>
          <w:rFonts w:ascii="Calibri" w:hAnsi="Calibri"/>
          <w:sz w:val="24"/>
          <w:szCs w:val="24"/>
        </w:rPr>
        <w:object w:dxaOrig="9035" w:dyaOrig="1763" w14:anchorId="453255FA">
          <v:shape id="_x0000_i1029" type="#_x0000_t75" style="width:451.5pt;height:88.5pt" o:ole="">
            <v:imagedata r:id="rId17" o:title=""/>
          </v:shape>
          <o:OLEObject Type="Embed" ProgID="Excel.Sheet.12" ShapeID="_x0000_i1029" DrawAspect="Content" ObjectID="_1687331429" r:id="rId18"/>
        </w:object>
      </w:r>
    </w:p>
    <w:p w14:paraId="59884169" w14:textId="2EDED8FF" w:rsidR="002137E2" w:rsidRPr="00E0609C" w:rsidRDefault="00833013">
      <w:pPr>
        <w:rPr>
          <w:rFonts w:ascii="Calibri" w:hAnsi="Calibri"/>
          <w:sz w:val="24"/>
          <w:szCs w:val="24"/>
        </w:rPr>
      </w:pPr>
      <w:r w:rsidRPr="00E0609C">
        <w:rPr>
          <w:rFonts w:ascii="Calibri" w:hAnsi="Calibri"/>
          <w:sz w:val="24"/>
          <w:szCs w:val="24"/>
        </w:rPr>
        <w:t>T</w:t>
      </w:r>
      <w:r w:rsidR="00BE5921" w:rsidRPr="00E0609C">
        <w:rPr>
          <w:rFonts w:ascii="Calibri" w:hAnsi="Calibri"/>
          <w:sz w:val="24"/>
          <w:szCs w:val="24"/>
        </w:rPr>
        <w:t xml:space="preserve">he SCLTDITF’s net OPEB liability </w:t>
      </w:r>
      <w:r w:rsidRPr="00E0609C">
        <w:rPr>
          <w:rFonts w:ascii="Calibri" w:hAnsi="Calibri"/>
          <w:sz w:val="24"/>
          <w:szCs w:val="24"/>
        </w:rPr>
        <w:t xml:space="preserve">is not affected by </w:t>
      </w:r>
      <w:r w:rsidR="00BE5921" w:rsidRPr="00E0609C">
        <w:rPr>
          <w:rFonts w:ascii="Calibri" w:hAnsi="Calibri"/>
          <w:sz w:val="24"/>
          <w:szCs w:val="24"/>
        </w:rPr>
        <w:t>changes in the healthcare cost trend rates</w:t>
      </w:r>
      <w:r w:rsidRPr="00E0609C">
        <w:rPr>
          <w:rFonts w:ascii="Calibri" w:hAnsi="Calibri"/>
          <w:sz w:val="24"/>
          <w:szCs w:val="24"/>
        </w:rPr>
        <w:t xml:space="preserve"> due to the method used to calculate benefit payments.  Therefore, the sensitivity to changes in the healthcare cost trend rates have not been calculated.</w:t>
      </w:r>
    </w:p>
    <w:p w14:paraId="05DFFADB" w14:textId="7CA74BA4" w:rsidR="00BE5921" w:rsidRPr="008E2DBA" w:rsidRDefault="00BE5921">
      <w:pPr>
        <w:rPr>
          <w:rFonts w:ascii="Calibri" w:hAnsi="Calibri"/>
          <w:sz w:val="24"/>
          <w:szCs w:val="24"/>
          <w:highlight w:val="yellow"/>
        </w:rPr>
      </w:pPr>
    </w:p>
    <w:p w14:paraId="390DD99A" w14:textId="6361A8B5" w:rsidR="00BE5921" w:rsidRPr="008E2DBA" w:rsidRDefault="00BE5921">
      <w:pPr>
        <w:rPr>
          <w:rFonts w:ascii="Calibri" w:hAnsi="Calibri"/>
          <w:sz w:val="24"/>
          <w:szCs w:val="24"/>
          <w:highlight w:val="yellow"/>
        </w:rPr>
      </w:pPr>
    </w:p>
    <w:p w14:paraId="349217B3" w14:textId="63A3EFBD" w:rsidR="00BE5921" w:rsidRPr="008E2DBA" w:rsidRDefault="00BE5921">
      <w:pPr>
        <w:rPr>
          <w:rFonts w:ascii="Calibri" w:hAnsi="Calibri"/>
          <w:sz w:val="24"/>
          <w:szCs w:val="24"/>
          <w:highlight w:val="yellow"/>
        </w:rPr>
      </w:pPr>
    </w:p>
    <w:p w14:paraId="23310AF7" w14:textId="77777777" w:rsidR="00BE5921" w:rsidRPr="008E2DBA" w:rsidRDefault="00BE5921">
      <w:pPr>
        <w:rPr>
          <w:rFonts w:ascii="Calibri" w:hAnsi="Calibri"/>
          <w:b/>
          <w:sz w:val="24"/>
          <w:szCs w:val="24"/>
          <w:highlight w:val="yellow"/>
        </w:rPr>
      </w:pPr>
    </w:p>
    <w:p w14:paraId="5B423827" w14:textId="77777777" w:rsidR="00705116" w:rsidRPr="00CC5F71" w:rsidRDefault="00A542F1" w:rsidP="00705116">
      <w:pPr>
        <w:pStyle w:val="NoSpacing"/>
        <w:jc w:val="both"/>
        <w:rPr>
          <w:rFonts w:ascii="Calibri" w:hAnsi="Calibri"/>
          <w:b/>
          <w:sz w:val="24"/>
          <w:szCs w:val="24"/>
        </w:rPr>
      </w:pPr>
      <w:r w:rsidRPr="00CC5F71">
        <w:rPr>
          <w:rFonts w:ascii="Calibri" w:hAnsi="Calibri"/>
          <w:b/>
          <w:sz w:val="24"/>
          <w:szCs w:val="24"/>
        </w:rPr>
        <w:lastRenderedPageBreak/>
        <w:t>Note 4:  OPEB Expense</w:t>
      </w:r>
    </w:p>
    <w:p w14:paraId="1671164C" w14:textId="2BD96DAB" w:rsidR="00A542F1" w:rsidRPr="00CC5F71" w:rsidRDefault="00E64100" w:rsidP="00705116">
      <w:pPr>
        <w:pStyle w:val="NoSpacing"/>
        <w:jc w:val="both"/>
        <w:rPr>
          <w:sz w:val="24"/>
          <w:szCs w:val="24"/>
        </w:rPr>
      </w:pPr>
      <w:r w:rsidRPr="00CC5F71">
        <w:rPr>
          <w:sz w:val="24"/>
          <w:szCs w:val="24"/>
        </w:rPr>
        <w:t xml:space="preserve">Components of collective OPEB expense reported in the </w:t>
      </w:r>
      <w:r w:rsidR="00556D3E" w:rsidRPr="00CC5F71">
        <w:rPr>
          <w:sz w:val="24"/>
          <w:szCs w:val="24"/>
        </w:rPr>
        <w:t>Schedule of OPEB Amounts by Employer</w:t>
      </w:r>
      <w:r w:rsidRPr="00CC5F71">
        <w:rPr>
          <w:sz w:val="24"/>
          <w:szCs w:val="24"/>
        </w:rPr>
        <w:t xml:space="preserve"> for the</w:t>
      </w:r>
      <w:r w:rsidR="003D1109" w:rsidRPr="00CC5F71">
        <w:rPr>
          <w:sz w:val="24"/>
          <w:szCs w:val="24"/>
        </w:rPr>
        <w:t xml:space="preserve"> fiscal year ended June 30, 20</w:t>
      </w:r>
      <w:r w:rsidR="00CC5F71" w:rsidRPr="00CC5F71">
        <w:rPr>
          <w:sz w:val="24"/>
          <w:szCs w:val="24"/>
        </w:rPr>
        <w:t>20</w:t>
      </w:r>
      <w:r w:rsidRPr="00CC5F71">
        <w:rPr>
          <w:sz w:val="24"/>
          <w:szCs w:val="24"/>
        </w:rPr>
        <w:t xml:space="preserve"> are presented below.</w:t>
      </w:r>
    </w:p>
    <w:p w14:paraId="0B712B31" w14:textId="77777777" w:rsidR="00EF7C06" w:rsidRPr="00CC5F71" w:rsidRDefault="00EF7C06" w:rsidP="00705116">
      <w:pPr>
        <w:pStyle w:val="NoSpacing"/>
        <w:jc w:val="both"/>
        <w:rPr>
          <w:sz w:val="16"/>
          <w:szCs w:val="16"/>
        </w:rPr>
      </w:pPr>
    </w:p>
    <w:bookmarkStart w:id="5" w:name="_MON_1592308385"/>
    <w:bookmarkEnd w:id="5"/>
    <w:p w14:paraId="0F92B884" w14:textId="48A2616D" w:rsidR="00E64100" w:rsidRPr="00CC5F71" w:rsidRDefault="00CC5F71" w:rsidP="00705116">
      <w:pPr>
        <w:pStyle w:val="NoSpacing"/>
        <w:jc w:val="both"/>
        <w:rPr>
          <w:rFonts w:ascii="Calibri" w:hAnsi="Calibri"/>
          <w:sz w:val="24"/>
          <w:szCs w:val="24"/>
        </w:rPr>
      </w:pPr>
      <w:r w:rsidRPr="00CC5F71">
        <w:rPr>
          <w:rFonts w:ascii="Calibri" w:hAnsi="Calibri"/>
          <w:sz w:val="24"/>
          <w:szCs w:val="24"/>
        </w:rPr>
        <w:object w:dxaOrig="9373" w:dyaOrig="3534" w14:anchorId="37192A8B">
          <v:shape id="_x0000_i1030" type="#_x0000_t75" style="width:468pt;height:177.75pt" o:ole="">
            <v:imagedata r:id="rId19" o:title=""/>
          </v:shape>
          <o:OLEObject Type="Embed" ProgID="Excel.Sheet.12" ShapeID="_x0000_i1030" DrawAspect="Content" ObjectID="_1687331430" r:id="rId20"/>
        </w:object>
      </w:r>
      <w:r w:rsidR="00C546AF" w:rsidRPr="00CC5F71">
        <w:rPr>
          <w:rFonts w:ascii="Calibri" w:hAnsi="Calibri"/>
          <w:sz w:val="24"/>
          <w:szCs w:val="24"/>
        </w:rPr>
        <w:t xml:space="preserve">Additional items included in Total </w:t>
      </w:r>
      <w:r w:rsidR="00556D3E" w:rsidRPr="00CC5F71">
        <w:rPr>
          <w:rFonts w:ascii="Calibri" w:hAnsi="Calibri"/>
          <w:sz w:val="24"/>
          <w:szCs w:val="24"/>
        </w:rPr>
        <w:t>Employer</w:t>
      </w:r>
      <w:r w:rsidR="00C546AF" w:rsidRPr="00CC5F71">
        <w:rPr>
          <w:rFonts w:ascii="Calibri" w:hAnsi="Calibri"/>
          <w:sz w:val="24"/>
          <w:szCs w:val="24"/>
        </w:rPr>
        <w:t xml:space="preserve"> OPEB Expense are the current period amortized portions of deferred outflows and/or inflows of resources related to changes in employers’ proportionate share of the collective NOL and differences between actual employer contributions and proportionate share of total plan employer contributions.</w:t>
      </w:r>
      <w:r w:rsidR="008B4DC5" w:rsidRPr="00CC5F71">
        <w:rPr>
          <w:rFonts w:ascii="Calibri" w:hAnsi="Calibri"/>
          <w:sz w:val="24"/>
          <w:szCs w:val="24"/>
        </w:rPr>
        <w:t xml:space="preserve"> </w:t>
      </w:r>
    </w:p>
    <w:p w14:paraId="0ABD5EE5" w14:textId="77777777" w:rsidR="00360C8A" w:rsidRPr="008E2DBA" w:rsidRDefault="00360C8A" w:rsidP="00705116">
      <w:pPr>
        <w:pStyle w:val="NoSpacing"/>
        <w:jc w:val="both"/>
        <w:rPr>
          <w:rFonts w:ascii="Calibri" w:hAnsi="Calibri"/>
          <w:b/>
          <w:sz w:val="20"/>
          <w:szCs w:val="20"/>
          <w:highlight w:val="yellow"/>
        </w:rPr>
      </w:pPr>
    </w:p>
    <w:p w14:paraId="1DEE40D9" w14:textId="77777777" w:rsidR="008B4DC5" w:rsidRPr="008B3950" w:rsidRDefault="008B4DC5" w:rsidP="00705116">
      <w:pPr>
        <w:pStyle w:val="NoSpacing"/>
        <w:jc w:val="both"/>
        <w:rPr>
          <w:rFonts w:ascii="Calibri" w:hAnsi="Calibri"/>
          <w:b/>
          <w:sz w:val="24"/>
          <w:szCs w:val="24"/>
        </w:rPr>
      </w:pPr>
      <w:r w:rsidRPr="008B3950">
        <w:rPr>
          <w:rFonts w:ascii="Calibri" w:hAnsi="Calibri"/>
          <w:b/>
          <w:sz w:val="24"/>
          <w:szCs w:val="24"/>
        </w:rPr>
        <w:t>Note 5:  Deferred Outflows and Inflows of Resources</w:t>
      </w:r>
    </w:p>
    <w:p w14:paraId="583A8D83" w14:textId="77777777" w:rsidR="0025545B" w:rsidRPr="008B3950" w:rsidRDefault="0025545B" w:rsidP="00705116">
      <w:pPr>
        <w:pStyle w:val="NoSpacing"/>
        <w:jc w:val="both"/>
        <w:rPr>
          <w:sz w:val="24"/>
          <w:szCs w:val="24"/>
        </w:rPr>
      </w:pPr>
      <w:r w:rsidRPr="008B3950">
        <w:rPr>
          <w:sz w:val="24"/>
          <w:szCs w:val="24"/>
        </w:rPr>
        <w:t>As discussed in paragraph 86 of GASB Statement No. 75, differences between expected and actual experience and changes in assumptions are recognized in OPEB expense using a systematic and rational method over a closed period equal to the average of the expected remaining service lives of all employees that are provided OPEB through the OPEB plan (active and inactive members) determined as of the beginning of the measurement period.</w:t>
      </w:r>
    </w:p>
    <w:p w14:paraId="5953BBC5" w14:textId="77777777" w:rsidR="0025545B" w:rsidRPr="008B3950" w:rsidRDefault="0025545B" w:rsidP="00705116">
      <w:pPr>
        <w:pStyle w:val="NoSpacing"/>
        <w:jc w:val="both"/>
        <w:rPr>
          <w:sz w:val="16"/>
          <w:szCs w:val="16"/>
        </w:rPr>
      </w:pPr>
    </w:p>
    <w:p w14:paraId="7C5764F5" w14:textId="77777777" w:rsidR="0025545B" w:rsidRPr="008B3950" w:rsidRDefault="0025545B" w:rsidP="00705116">
      <w:pPr>
        <w:pStyle w:val="NoSpacing"/>
        <w:jc w:val="both"/>
        <w:rPr>
          <w:sz w:val="24"/>
          <w:szCs w:val="24"/>
        </w:rPr>
      </w:pPr>
      <w:r w:rsidRPr="008B3950">
        <w:rPr>
          <w:sz w:val="24"/>
          <w:szCs w:val="24"/>
        </w:rPr>
        <w:t>Additionally, differences between projected and actual earnings on OPEB plan investments should be recognized in OPEB expense using a systematic and rational method over a closed five-year period.  For this purpose, the deferred outflows and inflows of resources are recognized in the OPEB expense as a level dollar amount over the closed period identified above.</w:t>
      </w:r>
    </w:p>
    <w:p w14:paraId="3FC8F687" w14:textId="77777777" w:rsidR="00EE3A1E" w:rsidRPr="008B3950" w:rsidRDefault="00EE3A1E" w:rsidP="00705116">
      <w:pPr>
        <w:pStyle w:val="NoSpacing"/>
        <w:jc w:val="both"/>
        <w:rPr>
          <w:sz w:val="16"/>
          <w:szCs w:val="16"/>
        </w:rPr>
      </w:pPr>
    </w:p>
    <w:p w14:paraId="1BA665B2" w14:textId="0A7F8C07" w:rsidR="001752F1" w:rsidRPr="008B3950" w:rsidRDefault="00C35892" w:rsidP="00705116">
      <w:pPr>
        <w:pStyle w:val="NoSpacing"/>
        <w:jc w:val="both"/>
        <w:rPr>
          <w:sz w:val="24"/>
          <w:szCs w:val="24"/>
        </w:rPr>
      </w:pPr>
      <w:r w:rsidRPr="008B3950">
        <w:rPr>
          <w:sz w:val="24"/>
          <w:szCs w:val="24"/>
        </w:rPr>
        <w:t xml:space="preserve">The schedules </w:t>
      </w:r>
      <w:r w:rsidR="0025545B" w:rsidRPr="008B3950">
        <w:rPr>
          <w:sz w:val="24"/>
          <w:szCs w:val="24"/>
        </w:rPr>
        <w:t>on the following page</w:t>
      </w:r>
      <w:r w:rsidR="00896070" w:rsidRPr="008B3950">
        <w:rPr>
          <w:sz w:val="24"/>
          <w:szCs w:val="24"/>
        </w:rPr>
        <w:t>s</w:t>
      </w:r>
      <w:r w:rsidRPr="008B3950">
        <w:rPr>
          <w:sz w:val="24"/>
          <w:szCs w:val="24"/>
        </w:rPr>
        <w:t xml:space="preserve"> reflect</w:t>
      </w:r>
      <w:r w:rsidR="0025545B" w:rsidRPr="008B3950">
        <w:rPr>
          <w:sz w:val="24"/>
          <w:szCs w:val="24"/>
        </w:rPr>
        <w:t>s</w:t>
      </w:r>
      <w:r w:rsidRPr="008B3950">
        <w:rPr>
          <w:sz w:val="24"/>
          <w:szCs w:val="24"/>
        </w:rPr>
        <w:t xml:space="preserve"> the amortization of collective deferred outflows/(inflows) of resources related to O</w:t>
      </w:r>
      <w:r w:rsidR="00C60F17" w:rsidRPr="008B3950">
        <w:rPr>
          <w:sz w:val="24"/>
          <w:szCs w:val="24"/>
        </w:rPr>
        <w:t>PEB outstanding at June 30, 20</w:t>
      </w:r>
      <w:r w:rsidR="008B3950" w:rsidRPr="008B3950">
        <w:rPr>
          <w:sz w:val="24"/>
          <w:szCs w:val="24"/>
        </w:rPr>
        <w:t>20</w:t>
      </w:r>
      <w:r w:rsidRPr="008B3950">
        <w:rPr>
          <w:sz w:val="24"/>
          <w:szCs w:val="24"/>
        </w:rPr>
        <w:t>.</w:t>
      </w:r>
      <w:r w:rsidR="00EE3A1E" w:rsidRPr="008B3950">
        <w:rPr>
          <w:sz w:val="24"/>
          <w:szCs w:val="24"/>
        </w:rPr>
        <w:t xml:space="preserve">  </w:t>
      </w:r>
    </w:p>
    <w:p w14:paraId="59983089" w14:textId="77777777" w:rsidR="001752F1" w:rsidRPr="008B3950" w:rsidRDefault="001752F1" w:rsidP="00705116">
      <w:pPr>
        <w:pStyle w:val="NoSpacing"/>
        <w:jc w:val="both"/>
        <w:rPr>
          <w:sz w:val="16"/>
          <w:szCs w:val="16"/>
        </w:rPr>
      </w:pPr>
    </w:p>
    <w:p w14:paraId="3E8ACD90" w14:textId="77777777" w:rsidR="008B4DC5" w:rsidRPr="008B3950" w:rsidRDefault="00EE3A1E" w:rsidP="00705116">
      <w:pPr>
        <w:pStyle w:val="NoSpacing"/>
        <w:jc w:val="both"/>
        <w:rPr>
          <w:sz w:val="24"/>
          <w:szCs w:val="24"/>
        </w:rPr>
      </w:pPr>
      <w:r w:rsidRPr="008B3950">
        <w:rPr>
          <w:sz w:val="24"/>
          <w:szCs w:val="24"/>
        </w:rPr>
        <w:t>As a reminder, in addition to recognizing a proportionate share of the deferred outflows and inflows shown on the following page, employers will also need to establish:</w:t>
      </w:r>
    </w:p>
    <w:p w14:paraId="6DFCE653" w14:textId="77777777" w:rsidR="00EE3A1E" w:rsidRPr="008B3950" w:rsidRDefault="00EE3A1E" w:rsidP="00EE3A1E">
      <w:pPr>
        <w:pStyle w:val="NoSpacing"/>
        <w:numPr>
          <w:ilvl w:val="0"/>
          <w:numId w:val="2"/>
        </w:numPr>
        <w:jc w:val="both"/>
        <w:rPr>
          <w:sz w:val="24"/>
          <w:szCs w:val="24"/>
        </w:rPr>
      </w:pPr>
      <w:r w:rsidRPr="008B3950">
        <w:rPr>
          <w:sz w:val="24"/>
          <w:szCs w:val="24"/>
        </w:rPr>
        <w:t xml:space="preserve">Deferred outflows and inflows related to changes in proportionate </w:t>
      </w:r>
      <w:r w:rsidR="004A754F" w:rsidRPr="008B3950">
        <w:rPr>
          <w:sz w:val="24"/>
          <w:szCs w:val="24"/>
        </w:rPr>
        <w:t>shares and differences between contributions and proportionate share of contributions;</w:t>
      </w:r>
    </w:p>
    <w:p w14:paraId="1A1CF644" w14:textId="77777777" w:rsidR="004D3058" w:rsidRPr="008B3950" w:rsidRDefault="004A754F" w:rsidP="004D3058">
      <w:pPr>
        <w:pStyle w:val="NoSpacing"/>
        <w:numPr>
          <w:ilvl w:val="0"/>
          <w:numId w:val="2"/>
        </w:numPr>
        <w:rPr>
          <w:sz w:val="24"/>
          <w:szCs w:val="24"/>
        </w:rPr>
      </w:pPr>
      <w:r w:rsidRPr="008B3950">
        <w:rPr>
          <w:sz w:val="24"/>
          <w:szCs w:val="24"/>
        </w:rPr>
        <w:t>A deferred outflow related to contributions made after the measurement date.  This deferred outflow should include payroll-related surcharge contributions and implicit subsidies.</w:t>
      </w:r>
    </w:p>
    <w:bookmarkStart w:id="6" w:name="_MON_1592312025"/>
    <w:bookmarkEnd w:id="6"/>
    <w:p w14:paraId="642048C5" w14:textId="10053249" w:rsidR="004D3058" w:rsidRPr="008E2DBA" w:rsidRDefault="00065373" w:rsidP="008D0EB6">
      <w:pPr>
        <w:pStyle w:val="NoSpacing"/>
        <w:jc w:val="center"/>
        <w:rPr>
          <w:sz w:val="24"/>
          <w:szCs w:val="24"/>
          <w:highlight w:val="yellow"/>
        </w:rPr>
      </w:pPr>
      <w:r w:rsidRPr="00DA053D">
        <w:rPr>
          <w:sz w:val="24"/>
          <w:szCs w:val="24"/>
        </w:rPr>
        <w:object w:dxaOrig="10617" w:dyaOrig="11632" w14:anchorId="5B81DE5A">
          <v:shape id="_x0000_i1031" type="#_x0000_t75" style="width:487.5pt;height:536.25pt" o:ole="">
            <v:imagedata r:id="rId21" o:title=""/>
          </v:shape>
          <o:OLEObject Type="Embed" ProgID="Excel.Sheet.12" ShapeID="_x0000_i1031" DrawAspect="Content" ObjectID="_1687331431" r:id="rId22"/>
        </w:object>
      </w:r>
    </w:p>
    <w:bookmarkStart w:id="7" w:name="_MON_1681202435"/>
    <w:bookmarkEnd w:id="7"/>
    <w:p w14:paraId="4594A501" w14:textId="3E904FBA" w:rsidR="00C35892" w:rsidRPr="008E2DBA" w:rsidRDefault="00EF4E58" w:rsidP="004D3058">
      <w:pPr>
        <w:pStyle w:val="NoSpacing"/>
        <w:jc w:val="center"/>
        <w:rPr>
          <w:sz w:val="24"/>
          <w:szCs w:val="24"/>
          <w:highlight w:val="yellow"/>
        </w:rPr>
      </w:pPr>
      <w:r w:rsidRPr="00DA053D">
        <w:rPr>
          <w:sz w:val="24"/>
          <w:szCs w:val="24"/>
        </w:rPr>
        <w:object w:dxaOrig="10617" w:dyaOrig="11632" w14:anchorId="2690517C">
          <v:shape id="_x0000_i1032" type="#_x0000_t75" style="width:487.5pt;height:536.25pt" o:ole="">
            <v:imagedata r:id="rId23" o:title=""/>
          </v:shape>
          <o:OLEObject Type="Embed" ProgID="Excel.Sheet.12" ShapeID="_x0000_i1032" DrawAspect="Content" ObjectID="_1687331432" r:id="rId24"/>
        </w:object>
      </w:r>
    </w:p>
    <w:p w14:paraId="728ADF5E" w14:textId="77777777" w:rsidR="002E0323" w:rsidRPr="008E2DBA" w:rsidRDefault="002E0323">
      <w:pPr>
        <w:rPr>
          <w:sz w:val="24"/>
          <w:szCs w:val="24"/>
          <w:highlight w:val="yellow"/>
        </w:rPr>
      </w:pPr>
      <w:r w:rsidRPr="008E2DBA">
        <w:rPr>
          <w:sz w:val="24"/>
          <w:szCs w:val="24"/>
          <w:highlight w:val="yellow"/>
        </w:rPr>
        <w:br w:type="page"/>
      </w:r>
    </w:p>
    <w:p w14:paraId="54A80857" w14:textId="77777777" w:rsidR="002E0323" w:rsidRPr="007A353A" w:rsidRDefault="002E0323" w:rsidP="00705116">
      <w:pPr>
        <w:pStyle w:val="NoSpacing"/>
        <w:jc w:val="both"/>
        <w:rPr>
          <w:b/>
          <w:sz w:val="24"/>
          <w:szCs w:val="24"/>
        </w:rPr>
      </w:pPr>
      <w:r w:rsidRPr="007A353A">
        <w:rPr>
          <w:b/>
          <w:sz w:val="24"/>
          <w:szCs w:val="24"/>
        </w:rPr>
        <w:lastRenderedPageBreak/>
        <w:t>Note 6:  Additional Financial and Actuarial Information</w:t>
      </w:r>
    </w:p>
    <w:p w14:paraId="4D54E0B9" w14:textId="3D89AB6C" w:rsidR="002E0323" w:rsidRPr="008B4DC5" w:rsidRDefault="002E0323" w:rsidP="00705116">
      <w:pPr>
        <w:pStyle w:val="NoSpacing"/>
        <w:jc w:val="both"/>
        <w:rPr>
          <w:sz w:val="24"/>
          <w:szCs w:val="24"/>
        </w:rPr>
      </w:pPr>
      <w:r w:rsidRPr="007A353A">
        <w:rPr>
          <w:sz w:val="24"/>
          <w:szCs w:val="24"/>
        </w:rPr>
        <w:t xml:space="preserve">Information contained in these Notes to the Schedules of OPEB </w:t>
      </w:r>
      <w:r w:rsidR="00705CEB" w:rsidRPr="007A353A">
        <w:rPr>
          <w:sz w:val="24"/>
          <w:szCs w:val="24"/>
        </w:rPr>
        <w:t xml:space="preserve">Amounts by Employer </w:t>
      </w:r>
      <w:r w:rsidRPr="007A353A">
        <w:rPr>
          <w:sz w:val="24"/>
          <w:szCs w:val="24"/>
        </w:rPr>
        <w:t xml:space="preserve">(the Schedules) were compiled from the </w:t>
      </w:r>
      <w:r w:rsidR="00AB455E" w:rsidRPr="007A353A">
        <w:rPr>
          <w:sz w:val="24"/>
          <w:szCs w:val="24"/>
        </w:rPr>
        <w:t>OPEB Trust Funds audited financial statements for the fiscal year ended June 30, 20</w:t>
      </w:r>
      <w:r w:rsidR="007A353A" w:rsidRPr="007A353A">
        <w:rPr>
          <w:sz w:val="24"/>
          <w:szCs w:val="24"/>
        </w:rPr>
        <w:t>20</w:t>
      </w:r>
      <w:r w:rsidR="00AB455E" w:rsidRPr="007A353A">
        <w:rPr>
          <w:sz w:val="24"/>
          <w:szCs w:val="24"/>
        </w:rPr>
        <w:t>, and the accounting and financial reporting actuari</w:t>
      </w:r>
      <w:r w:rsidR="00C60F17" w:rsidRPr="007A353A">
        <w:rPr>
          <w:sz w:val="24"/>
          <w:szCs w:val="24"/>
        </w:rPr>
        <w:t>al valuation</w:t>
      </w:r>
      <w:r w:rsidR="007929EA" w:rsidRPr="007A353A">
        <w:rPr>
          <w:sz w:val="24"/>
          <w:szCs w:val="24"/>
        </w:rPr>
        <w:t>s</w:t>
      </w:r>
      <w:r w:rsidR="00C60F17" w:rsidRPr="007A353A">
        <w:rPr>
          <w:sz w:val="24"/>
          <w:szCs w:val="24"/>
        </w:rPr>
        <w:t xml:space="preserve"> as of June 30, 20</w:t>
      </w:r>
      <w:r w:rsidR="007A353A" w:rsidRPr="007A353A">
        <w:rPr>
          <w:sz w:val="24"/>
          <w:szCs w:val="24"/>
        </w:rPr>
        <w:t>20</w:t>
      </w:r>
      <w:r w:rsidR="00AB455E" w:rsidRPr="007A353A">
        <w:rPr>
          <w:sz w:val="24"/>
          <w:szCs w:val="24"/>
        </w:rPr>
        <w:t>.  Additional financial information supporting the preparation of the Schedules (including the unmodified audit opinion on the financial statements and required supplementary information) is available in the OPEB Trust Funds audited financial statements.</w:t>
      </w:r>
      <w:r w:rsidR="004A754F" w:rsidRPr="007A353A">
        <w:rPr>
          <w:sz w:val="24"/>
          <w:szCs w:val="24"/>
        </w:rPr>
        <w:t xml:space="preserve">  Employers are encouraged to review Illustration II in Appendix C of GASB Statement No. 75, which provides a sample footnote disclosure and required supplementary information for a cost-sharing multiple-employer defined benefit</w:t>
      </w:r>
      <w:r w:rsidR="007929EA" w:rsidRPr="007A353A">
        <w:rPr>
          <w:sz w:val="24"/>
          <w:szCs w:val="24"/>
        </w:rPr>
        <w:t xml:space="preserve"> OPEB</w:t>
      </w:r>
      <w:r w:rsidR="004A754F" w:rsidRPr="007A353A">
        <w:rPr>
          <w:sz w:val="24"/>
          <w:szCs w:val="24"/>
        </w:rPr>
        <w:t xml:space="preserve"> plan.</w:t>
      </w:r>
    </w:p>
    <w:sectPr w:rsidR="002E0323" w:rsidRPr="008B4DC5" w:rsidSect="0072251C">
      <w:headerReference w:type="default" r:id="rId25"/>
      <w:footerReference w:type="default" r:id="rId26"/>
      <w:pgSz w:w="12240" w:h="15840"/>
      <w:pgMar w:top="1440" w:right="1440" w:bottom="1440" w:left="1440" w:header="720" w:footer="432" w:gutter="0"/>
      <w:pgNumType w:start="4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033B93" w14:textId="77777777" w:rsidR="00977134" w:rsidRDefault="00977134" w:rsidP="00977134">
      <w:pPr>
        <w:spacing w:after="0" w:line="240" w:lineRule="auto"/>
      </w:pPr>
      <w:r>
        <w:separator/>
      </w:r>
    </w:p>
  </w:endnote>
  <w:endnote w:type="continuationSeparator" w:id="0">
    <w:p w14:paraId="3E5A0B08" w14:textId="77777777" w:rsidR="00977134" w:rsidRDefault="00977134" w:rsidP="00977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48F79" w14:textId="61F4FFBA" w:rsidR="006A36A9" w:rsidRDefault="006A3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7078A4" w14:textId="77777777" w:rsidR="00977134" w:rsidRDefault="00977134" w:rsidP="00977134">
      <w:pPr>
        <w:spacing w:after="0" w:line="240" w:lineRule="auto"/>
      </w:pPr>
      <w:r>
        <w:separator/>
      </w:r>
    </w:p>
  </w:footnote>
  <w:footnote w:type="continuationSeparator" w:id="0">
    <w:p w14:paraId="2C12365A" w14:textId="77777777" w:rsidR="00977134" w:rsidRDefault="00977134" w:rsidP="00977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D0EA3" w14:textId="77777777" w:rsidR="00977134" w:rsidRDefault="00977134" w:rsidP="00977134">
    <w:pPr>
      <w:pStyle w:val="Header"/>
      <w:jc w:val="center"/>
      <w:rPr>
        <w:b/>
        <w:sz w:val="24"/>
        <w:szCs w:val="24"/>
      </w:rPr>
    </w:pPr>
    <w:r>
      <w:rPr>
        <w:b/>
        <w:sz w:val="24"/>
        <w:szCs w:val="24"/>
      </w:rPr>
      <w:t>South Carolina OPEB Trusts</w:t>
    </w:r>
  </w:p>
  <w:p w14:paraId="0F2755A4" w14:textId="77777777" w:rsidR="00977134" w:rsidRDefault="00977134" w:rsidP="00977134">
    <w:pPr>
      <w:pStyle w:val="Header"/>
      <w:jc w:val="center"/>
      <w:rPr>
        <w:b/>
        <w:sz w:val="24"/>
        <w:szCs w:val="24"/>
      </w:rPr>
    </w:pPr>
    <w:r>
      <w:rPr>
        <w:b/>
        <w:sz w:val="24"/>
        <w:szCs w:val="24"/>
      </w:rPr>
      <w:t xml:space="preserve">Notes to the Schedules of Employer Allocations </w:t>
    </w:r>
    <w:r w:rsidR="006A36A9">
      <w:rPr>
        <w:b/>
        <w:sz w:val="24"/>
        <w:szCs w:val="24"/>
      </w:rPr>
      <w:t>and</w:t>
    </w:r>
  </w:p>
  <w:p w14:paraId="730D208F" w14:textId="77777777" w:rsidR="006A36A9" w:rsidRDefault="006A36A9" w:rsidP="00977134">
    <w:pPr>
      <w:pStyle w:val="Header"/>
      <w:jc w:val="center"/>
      <w:rPr>
        <w:b/>
        <w:sz w:val="24"/>
        <w:szCs w:val="24"/>
      </w:rPr>
    </w:pPr>
    <w:r>
      <w:rPr>
        <w:b/>
        <w:sz w:val="24"/>
        <w:szCs w:val="24"/>
      </w:rPr>
      <w:t>OPEB Amounts by Employer</w:t>
    </w:r>
  </w:p>
  <w:p w14:paraId="59A6FFB0" w14:textId="10A6E979" w:rsidR="00977134" w:rsidRDefault="00977134" w:rsidP="00977134">
    <w:pPr>
      <w:pStyle w:val="Header"/>
      <w:jc w:val="center"/>
      <w:rPr>
        <w:b/>
        <w:sz w:val="24"/>
        <w:szCs w:val="24"/>
      </w:rPr>
    </w:pPr>
    <w:r>
      <w:rPr>
        <w:b/>
        <w:sz w:val="24"/>
        <w:szCs w:val="24"/>
      </w:rPr>
      <w:t>For the</w:t>
    </w:r>
    <w:r w:rsidR="009C4CCA">
      <w:rPr>
        <w:b/>
        <w:sz w:val="24"/>
        <w:szCs w:val="24"/>
      </w:rPr>
      <w:t xml:space="preserve"> Fiscal Year Ended June 30, 20</w:t>
    </w:r>
    <w:r w:rsidR="00707C20">
      <w:rPr>
        <w:b/>
        <w:sz w:val="24"/>
        <w:szCs w:val="24"/>
      </w:rPr>
      <w:t>20</w:t>
    </w:r>
  </w:p>
  <w:p w14:paraId="76ABF8F2" w14:textId="77777777" w:rsidR="00977134" w:rsidRPr="00977134" w:rsidRDefault="00977134" w:rsidP="00977134">
    <w:pPr>
      <w:pStyle w:val="Heade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F05F78"/>
    <w:multiLevelType w:val="hybridMultilevel"/>
    <w:tmpl w:val="CBB2250E"/>
    <w:lvl w:ilvl="0" w:tplc="B612555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E7E27D9"/>
    <w:multiLevelType w:val="hybridMultilevel"/>
    <w:tmpl w:val="C4C431D2"/>
    <w:lvl w:ilvl="0" w:tplc="0AEAFB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F7A"/>
    <w:rsid w:val="00056F62"/>
    <w:rsid w:val="000577DC"/>
    <w:rsid w:val="0006275F"/>
    <w:rsid w:val="0006430D"/>
    <w:rsid w:val="00065373"/>
    <w:rsid w:val="000728BB"/>
    <w:rsid w:val="00074225"/>
    <w:rsid w:val="00097CCE"/>
    <w:rsid w:val="000A1AEF"/>
    <w:rsid w:val="000D1756"/>
    <w:rsid w:val="000F6E25"/>
    <w:rsid w:val="001752F1"/>
    <w:rsid w:val="001C5018"/>
    <w:rsid w:val="001D4E47"/>
    <w:rsid w:val="001F2742"/>
    <w:rsid w:val="001F6BF1"/>
    <w:rsid w:val="002137E2"/>
    <w:rsid w:val="002325D1"/>
    <w:rsid w:val="00245F83"/>
    <w:rsid w:val="002530D7"/>
    <w:rsid w:val="0025545B"/>
    <w:rsid w:val="00255DF1"/>
    <w:rsid w:val="002B7D61"/>
    <w:rsid w:val="002E0323"/>
    <w:rsid w:val="002E346A"/>
    <w:rsid w:val="002F08E0"/>
    <w:rsid w:val="002F26B6"/>
    <w:rsid w:val="002F79D5"/>
    <w:rsid w:val="003265FB"/>
    <w:rsid w:val="00360C8A"/>
    <w:rsid w:val="003900E2"/>
    <w:rsid w:val="003A6F19"/>
    <w:rsid w:val="003B5773"/>
    <w:rsid w:val="003D1109"/>
    <w:rsid w:val="00413B79"/>
    <w:rsid w:val="00464BAE"/>
    <w:rsid w:val="004A754F"/>
    <w:rsid w:val="004C6537"/>
    <w:rsid w:val="004D3058"/>
    <w:rsid w:val="004D6FEC"/>
    <w:rsid w:val="005031EE"/>
    <w:rsid w:val="00556577"/>
    <w:rsid w:val="00556D3E"/>
    <w:rsid w:val="0059180D"/>
    <w:rsid w:val="0059318D"/>
    <w:rsid w:val="005D36A9"/>
    <w:rsid w:val="005F17A0"/>
    <w:rsid w:val="0061154B"/>
    <w:rsid w:val="00625E3C"/>
    <w:rsid w:val="00665DFC"/>
    <w:rsid w:val="006A36A9"/>
    <w:rsid w:val="006D1F7A"/>
    <w:rsid w:val="006D484F"/>
    <w:rsid w:val="00704455"/>
    <w:rsid w:val="00705116"/>
    <w:rsid w:val="00705CEB"/>
    <w:rsid w:val="00707C20"/>
    <w:rsid w:val="0072251C"/>
    <w:rsid w:val="0074566A"/>
    <w:rsid w:val="00751BC9"/>
    <w:rsid w:val="0078434C"/>
    <w:rsid w:val="007929EA"/>
    <w:rsid w:val="00794E29"/>
    <w:rsid w:val="007A353A"/>
    <w:rsid w:val="007A4133"/>
    <w:rsid w:val="007A5F93"/>
    <w:rsid w:val="007D3C4A"/>
    <w:rsid w:val="00833013"/>
    <w:rsid w:val="008674B6"/>
    <w:rsid w:val="0088153B"/>
    <w:rsid w:val="00896070"/>
    <w:rsid w:val="008B3950"/>
    <w:rsid w:val="008B4DC5"/>
    <w:rsid w:val="008B7EE2"/>
    <w:rsid w:val="008D0EB6"/>
    <w:rsid w:val="008D2A19"/>
    <w:rsid w:val="008E2DBA"/>
    <w:rsid w:val="008E36E7"/>
    <w:rsid w:val="009001E0"/>
    <w:rsid w:val="0090633D"/>
    <w:rsid w:val="00943FD5"/>
    <w:rsid w:val="0095119E"/>
    <w:rsid w:val="00971109"/>
    <w:rsid w:val="00977134"/>
    <w:rsid w:val="00982928"/>
    <w:rsid w:val="00982A7B"/>
    <w:rsid w:val="00982E23"/>
    <w:rsid w:val="009A3EB1"/>
    <w:rsid w:val="009C4CCA"/>
    <w:rsid w:val="009E1B05"/>
    <w:rsid w:val="00A502D3"/>
    <w:rsid w:val="00A542F1"/>
    <w:rsid w:val="00A93C23"/>
    <w:rsid w:val="00AA4A61"/>
    <w:rsid w:val="00AB219E"/>
    <w:rsid w:val="00AB455E"/>
    <w:rsid w:val="00AE484C"/>
    <w:rsid w:val="00AE48BC"/>
    <w:rsid w:val="00B31AFC"/>
    <w:rsid w:val="00B613A0"/>
    <w:rsid w:val="00BE5921"/>
    <w:rsid w:val="00C35892"/>
    <w:rsid w:val="00C546AF"/>
    <w:rsid w:val="00C60F17"/>
    <w:rsid w:val="00C72F3B"/>
    <w:rsid w:val="00C82CE1"/>
    <w:rsid w:val="00CC3E46"/>
    <w:rsid w:val="00CC5F71"/>
    <w:rsid w:val="00CD07E8"/>
    <w:rsid w:val="00CD4346"/>
    <w:rsid w:val="00CE37E3"/>
    <w:rsid w:val="00D2418F"/>
    <w:rsid w:val="00D762C9"/>
    <w:rsid w:val="00DA053D"/>
    <w:rsid w:val="00DB7DC2"/>
    <w:rsid w:val="00DC710E"/>
    <w:rsid w:val="00DF1998"/>
    <w:rsid w:val="00E0609C"/>
    <w:rsid w:val="00E159A9"/>
    <w:rsid w:val="00E37E2E"/>
    <w:rsid w:val="00E64100"/>
    <w:rsid w:val="00E71597"/>
    <w:rsid w:val="00E7369C"/>
    <w:rsid w:val="00E9215E"/>
    <w:rsid w:val="00EB6F21"/>
    <w:rsid w:val="00ED623C"/>
    <w:rsid w:val="00EE3A1E"/>
    <w:rsid w:val="00EF4E58"/>
    <w:rsid w:val="00EF7C06"/>
    <w:rsid w:val="00F50AD4"/>
    <w:rsid w:val="00F60677"/>
    <w:rsid w:val="00F60E4D"/>
    <w:rsid w:val="00F87A8D"/>
    <w:rsid w:val="00FB08F9"/>
    <w:rsid w:val="00FD5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3815D409"/>
  <w15:chartTrackingRefBased/>
  <w15:docId w15:val="{7E62567D-EDC3-490D-9567-75D1DD63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F7A"/>
    <w:pPr>
      <w:spacing w:after="0" w:line="240" w:lineRule="auto"/>
    </w:pPr>
  </w:style>
  <w:style w:type="character" w:styleId="Hyperlink">
    <w:name w:val="Hyperlink"/>
    <w:basedOn w:val="DefaultParagraphFont"/>
    <w:uiPriority w:val="99"/>
    <w:unhideWhenUsed/>
    <w:rsid w:val="003900E2"/>
    <w:rPr>
      <w:color w:val="0563C1" w:themeColor="hyperlink"/>
      <w:u w:val="single"/>
    </w:rPr>
  </w:style>
  <w:style w:type="paragraph" w:styleId="Header">
    <w:name w:val="header"/>
    <w:basedOn w:val="Normal"/>
    <w:link w:val="HeaderChar"/>
    <w:uiPriority w:val="99"/>
    <w:unhideWhenUsed/>
    <w:rsid w:val="00064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30D"/>
  </w:style>
  <w:style w:type="paragraph" w:styleId="Footer">
    <w:name w:val="footer"/>
    <w:basedOn w:val="Normal"/>
    <w:link w:val="FooterChar"/>
    <w:uiPriority w:val="99"/>
    <w:unhideWhenUsed/>
    <w:rsid w:val="00977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ba.sc.gov" TargetMode="External"/><Relationship Id="rId13" Type="http://schemas.openxmlformats.org/officeDocument/2006/relationships/image" Target="media/image3.emf"/><Relationship Id="rId18" Type="http://schemas.openxmlformats.org/officeDocument/2006/relationships/package" Target="embeddings/Microsoft_Excel_Worksheet4.xlsx"/><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package" Target="embeddings/Microsoft_Excel_Worksheet1.xlsx"/><Relationship Id="rId17" Type="http://schemas.openxmlformats.org/officeDocument/2006/relationships/image" Target="media/image5.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Excel_Worksheet3.xlsx"/><Relationship Id="rId20" Type="http://schemas.openxmlformats.org/officeDocument/2006/relationships/package" Target="embeddings/Microsoft_Excel_Worksheet5.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package" Target="embeddings/Microsoft_Excel_Worksheet7.xlsx"/><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theme" Target="theme/theme1.xml"/><Relationship Id="rId10" Type="http://schemas.openxmlformats.org/officeDocument/2006/relationships/package" Target="embeddings/Microsoft_Excel_Worksheet.xlsx"/><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Microsoft_Excel_Worksheet2.xlsx"/><Relationship Id="rId22" Type="http://schemas.openxmlformats.org/officeDocument/2006/relationships/package" Target="embeddings/Microsoft_Excel_Worksheet6.xlsx"/><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BE7F1-9385-49BA-AB37-F3EB7426B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12</Pages>
  <Words>2879</Words>
  <Characters>16415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PEBA</Company>
  <LinksUpToDate>false</LinksUpToDate>
  <CharactersWithSpaces>19256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Avery</dc:creator>
  <cp:keywords/>
  <dc:description/>
  <cp:lastModifiedBy>Bob Avery</cp:lastModifiedBy>
  <cp:revision>14</cp:revision>
  <cp:lastPrinted>2021-04-29T19:30:00Z</cp:lastPrinted>
  <dcterms:created xsi:type="dcterms:W3CDTF">2021-04-23T20:12:00Z</dcterms:created>
  <dcterms:modified xsi:type="dcterms:W3CDTF">2021-07-09T14:24:00Z</dcterms:modified>
</cp:coreProperties>
</file>