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700E" w14:textId="3FB94613" w:rsidR="00F13099" w:rsidRPr="00F13099" w:rsidRDefault="00F13099" w:rsidP="00257923">
      <w:pPr>
        <w:pStyle w:val="Heading1"/>
        <w:rPr>
          <w:rStyle w:val="Heading6Char"/>
          <w:b/>
          <w:bCs/>
        </w:rPr>
      </w:pPr>
      <w:r w:rsidRPr="00F13099">
        <w:t>Open enrollment 2024 social media posts</w:t>
      </w:r>
    </w:p>
    <w:p w14:paraId="5D0B58D5" w14:textId="23BEB437" w:rsidR="00F13099" w:rsidRPr="00257923" w:rsidRDefault="00F13099" w:rsidP="00257923">
      <w:pPr>
        <w:pStyle w:val="Heading2"/>
      </w:pPr>
      <w:r w:rsidRPr="00257923">
        <w:rPr>
          <w:rStyle w:val="Heading6Char"/>
          <w:b w:val="0"/>
          <w:sz w:val="30"/>
          <w:szCs w:val="30"/>
        </w:rPr>
        <w:t>Before open enrollment</w:t>
      </w:r>
    </w:p>
    <w:p w14:paraId="175BDE7D" w14:textId="7243C5D9" w:rsidR="00F13099" w:rsidRPr="00257923" w:rsidRDefault="00F13099" w:rsidP="00257923">
      <w:pPr>
        <w:pStyle w:val="NoSpacing"/>
      </w:pPr>
      <w:r w:rsidRPr="00257923">
        <w:t>Option 1</w:t>
      </w:r>
    </w:p>
    <w:p w14:paraId="3A732598" w14:textId="77777777" w:rsidR="00F13099" w:rsidRDefault="00F13099" w:rsidP="00F13099">
      <w:r>
        <w:t xml:space="preserve">It’s almost time to complete your open enrollment puzzle! Open enrollment is right around the corner. Add, </w:t>
      </w:r>
      <w:proofErr w:type="gramStart"/>
      <w:r>
        <w:t>drop</w:t>
      </w:r>
      <w:proofErr w:type="gramEnd"/>
      <w:r>
        <w:t xml:space="preserve"> or change coverage from October 1-31, 2024. For more information, visit </w:t>
      </w:r>
      <w:hyperlink r:id="rId7" w:history="1">
        <w:r w:rsidRPr="00EA4918">
          <w:rPr>
            <w:rStyle w:val="Hyperlink"/>
            <w:rFonts w:cstheme="minorHAnsi"/>
          </w:rPr>
          <w:t>peba.sc.gov/</w:t>
        </w:r>
        <w:proofErr w:type="spellStart"/>
        <w:r w:rsidRPr="00EA4918">
          <w:rPr>
            <w:rStyle w:val="Hyperlink"/>
            <w:rFonts w:cstheme="minorHAnsi"/>
          </w:rPr>
          <w:t>oe</w:t>
        </w:r>
        <w:proofErr w:type="spellEnd"/>
      </w:hyperlink>
      <w:r>
        <w:t>.</w:t>
      </w:r>
    </w:p>
    <w:p w14:paraId="6E761D4B" w14:textId="29D1D811" w:rsidR="00F13099" w:rsidRDefault="00F13099" w:rsidP="00F13099">
      <w:pPr>
        <w:pStyle w:val="NoSpacing"/>
      </w:pPr>
      <w:r>
        <w:t>Option 2</w:t>
      </w:r>
    </w:p>
    <w:p w14:paraId="444EC7B9" w14:textId="77777777" w:rsidR="00F13099" w:rsidRDefault="00F13099" w:rsidP="00F13099">
      <w:r>
        <w:t xml:space="preserve">Have you found your benefits puzzle pieces yet? From October 1-31, 2024, subscribers can make changes to their insurance coverage for 2025. To learn about your options during open enrollment, visit </w:t>
      </w:r>
      <w:hyperlink r:id="rId8" w:history="1">
        <w:r w:rsidRPr="00EA4918">
          <w:rPr>
            <w:rStyle w:val="Hyperlink"/>
            <w:rFonts w:cstheme="minorHAnsi"/>
          </w:rPr>
          <w:t>peba.sc.gov/</w:t>
        </w:r>
        <w:proofErr w:type="spellStart"/>
        <w:r w:rsidRPr="00EA4918">
          <w:rPr>
            <w:rStyle w:val="Hyperlink"/>
            <w:rFonts w:cstheme="minorHAnsi"/>
          </w:rPr>
          <w:t>oe</w:t>
        </w:r>
        <w:proofErr w:type="spellEnd"/>
      </w:hyperlink>
      <w:r>
        <w:t>.</w:t>
      </w:r>
    </w:p>
    <w:p w14:paraId="1D50D941" w14:textId="2AB6826C" w:rsidR="00F13099" w:rsidRDefault="00F13099" w:rsidP="00F13099">
      <w:pPr>
        <w:pStyle w:val="NoSpacing"/>
      </w:pPr>
      <w:r>
        <w:t>Option 3</w:t>
      </w:r>
    </w:p>
    <w:p w14:paraId="41AB4C4F" w14:textId="77777777" w:rsidR="00F13099" w:rsidRDefault="00F13099" w:rsidP="00F13099">
      <w:r>
        <w:t xml:space="preserve">Before you complete your benefits puzzle for open enrollment this year, make sure to review your current insurance coverage. You will have the opportunity to make changes October 1-31, 2024. Learn more at </w:t>
      </w:r>
      <w:hyperlink r:id="rId9" w:history="1">
        <w:r w:rsidRPr="00EA4918">
          <w:rPr>
            <w:rStyle w:val="Hyperlink"/>
            <w:rFonts w:cstheme="minorHAnsi"/>
          </w:rPr>
          <w:t>peba.sc.gov/</w:t>
        </w:r>
        <w:proofErr w:type="spellStart"/>
        <w:r w:rsidRPr="00EA4918">
          <w:rPr>
            <w:rStyle w:val="Hyperlink"/>
            <w:rFonts w:cstheme="minorHAnsi"/>
          </w:rPr>
          <w:t>oe</w:t>
        </w:r>
        <w:proofErr w:type="spellEnd"/>
      </w:hyperlink>
      <w:r>
        <w:t xml:space="preserve">. </w:t>
      </w:r>
    </w:p>
    <w:p w14:paraId="639B474B" w14:textId="77777777" w:rsidR="00F13099" w:rsidRPr="00257923" w:rsidRDefault="00F13099" w:rsidP="00257923">
      <w:pPr>
        <w:pStyle w:val="Heading2"/>
      </w:pPr>
      <w:r w:rsidRPr="00257923">
        <w:t>During open enrollment</w:t>
      </w:r>
    </w:p>
    <w:p w14:paraId="570AE4DB" w14:textId="11893141" w:rsidR="00F13099" w:rsidRDefault="00F13099" w:rsidP="00F13099">
      <w:pPr>
        <w:pStyle w:val="NoSpacing"/>
      </w:pPr>
      <w:r>
        <w:t>Option 1</w:t>
      </w:r>
    </w:p>
    <w:p w14:paraId="57FA92E1" w14:textId="77777777" w:rsidR="00F13099" w:rsidRDefault="00F13099" w:rsidP="00F13099">
      <w:r>
        <w:t xml:space="preserve">Open enrollment is here! Subscribers can complete their benefits puzzle and add, </w:t>
      </w:r>
      <w:proofErr w:type="gramStart"/>
      <w:r>
        <w:t>drop</w:t>
      </w:r>
      <w:proofErr w:type="gramEnd"/>
      <w:r>
        <w:t xml:space="preserve"> or change insurance coverage until October 31, 2024. Learn more at </w:t>
      </w:r>
      <w:hyperlink r:id="rId10" w:history="1">
        <w:r w:rsidRPr="00EA4918">
          <w:rPr>
            <w:rStyle w:val="Hyperlink"/>
            <w:rFonts w:cstheme="minorHAnsi"/>
          </w:rPr>
          <w:t>peba.sc.gov/</w:t>
        </w:r>
        <w:proofErr w:type="spellStart"/>
        <w:r w:rsidRPr="00EA4918">
          <w:rPr>
            <w:rStyle w:val="Hyperlink"/>
            <w:rFonts w:cstheme="minorHAnsi"/>
          </w:rPr>
          <w:t>oe</w:t>
        </w:r>
        <w:proofErr w:type="spellEnd"/>
      </w:hyperlink>
      <w:r>
        <w:t xml:space="preserve">. </w:t>
      </w:r>
    </w:p>
    <w:p w14:paraId="42E19C1A" w14:textId="5BF7E62D" w:rsidR="00F13099" w:rsidRDefault="00F13099" w:rsidP="00F13099">
      <w:pPr>
        <w:pStyle w:val="NoSpacing"/>
      </w:pPr>
      <w:r>
        <w:t>Option 2</w:t>
      </w:r>
    </w:p>
    <w:p w14:paraId="642E6D88" w14:textId="77777777" w:rsidR="00F13099" w:rsidRDefault="00F13099" w:rsidP="00F13099">
      <w:r>
        <w:t xml:space="preserve">Have you completed your open enrollment puzzle yet? You have until October 31, 2024, to make changes to your insurance coverage for 2025. For information about your options, visit </w:t>
      </w:r>
      <w:hyperlink r:id="rId11" w:history="1">
        <w:r w:rsidRPr="00EA4918">
          <w:rPr>
            <w:rStyle w:val="Hyperlink"/>
            <w:rFonts w:cstheme="minorHAnsi"/>
          </w:rPr>
          <w:t>peba.sc.gov/</w:t>
        </w:r>
        <w:proofErr w:type="spellStart"/>
        <w:r w:rsidRPr="00EA4918">
          <w:rPr>
            <w:rStyle w:val="Hyperlink"/>
            <w:rFonts w:cstheme="minorHAnsi"/>
          </w:rPr>
          <w:t>oe</w:t>
        </w:r>
        <w:proofErr w:type="spellEnd"/>
      </w:hyperlink>
      <w:r>
        <w:t>.</w:t>
      </w:r>
    </w:p>
    <w:p w14:paraId="642CDD4F" w14:textId="23A8EECD" w:rsidR="00F13099" w:rsidRDefault="00F13099" w:rsidP="00F13099">
      <w:pPr>
        <w:pStyle w:val="NoSpacing"/>
      </w:pPr>
      <w:r>
        <w:t>Option 3</w:t>
      </w:r>
    </w:p>
    <w:p w14:paraId="09AEBA95" w14:textId="596EB149" w:rsidR="00752EC9" w:rsidRPr="00257923" w:rsidRDefault="00F13099">
      <w:r>
        <w:t xml:space="preserve">There are just a few more weeks to complete your open enrollment puzzle! Open enrollment ends October 31, 2024. Don’t miss your opportunity to add, drop or change your insurance coverage. Visit </w:t>
      </w:r>
      <w:hyperlink r:id="rId12" w:history="1">
        <w:r w:rsidRPr="00EA4918">
          <w:rPr>
            <w:rStyle w:val="Hyperlink"/>
            <w:rFonts w:cstheme="minorHAnsi"/>
          </w:rPr>
          <w:t>peba.sc.gov/</w:t>
        </w:r>
        <w:proofErr w:type="spellStart"/>
        <w:r w:rsidRPr="00EA4918">
          <w:rPr>
            <w:rStyle w:val="Hyperlink"/>
            <w:rFonts w:cstheme="minorHAnsi"/>
          </w:rPr>
          <w:t>oe</w:t>
        </w:r>
        <w:proofErr w:type="spellEnd"/>
      </w:hyperlink>
      <w:r>
        <w:t xml:space="preserve"> to learn more.</w:t>
      </w:r>
    </w:p>
    <w:sectPr w:rsidR="00752EC9" w:rsidRPr="00257923" w:rsidSect="00DD4F35"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504" w:footer="28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0F8E5" w14:textId="77777777" w:rsidR="00DD4F35" w:rsidRDefault="00DD4F35" w:rsidP="00DD4F35">
      <w:pPr>
        <w:spacing w:after="0" w:line="240" w:lineRule="auto"/>
      </w:pPr>
      <w:r>
        <w:separator/>
      </w:r>
    </w:p>
  </w:endnote>
  <w:endnote w:type="continuationSeparator" w:id="0">
    <w:p w14:paraId="7C2F587B" w14:textId="77777777" w:rsidR="00DD4F35" w:rsidRDefault="00DD4F35" w:rsidP="00DD4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203E5" w14:textId="77777777" w:rsidR="00DD4F35" w:rsidRPr="00BF5FFD" w:rsidRDefault="00DD4F35" w:rsidP="00393016">
    <w:pPr>
      <w:pStyle w:val="Footer"/>
      <w:tabs>
        <w:tab w:val="clear" w:pos="4680"/>
        <w:tab w:val="clear" w:pos="9360"/>
        <w:tab w:val="right" w:pos="10440"/>
      </w:tabs>
      <w:ind w:left="-1080" w:right="-1080"/>
      <w:rPr>
        <w:rFonts w:ascii="Times New Roman" w:hAnsi="Times New Roman"/>
        <w:b/>
        <w:noProof/>
        <w:color w:val="063A68"/>
        <w:sz w:val="18"/>
        <w:szCs w:val="18"/>
      </w:rPr>
    </w:pPr>
    <w:r>
      <w:rPr>
        <w:rFonts w:ascii="Times New Roman" w:hAnsi="Times New Roman"/>
        <w:b/>
        <w:color w:val="063A68"/>
        <w:sz w:val="18"/>
        <w:szCs w:val="18"/>
      </w:rPr>
      <w:t>O</w:t>
    </w:r>
    <w:r w:rsidRPr="00BF5FFD">
      <w:rPr>
        <w:rFonts w:ascii="Times New Roman" w:hAnsi="Times New Roman"/>
        <w:b/>
        <w:color w:val="063A68"/>
        <w:sz w:val="18"/>
        <w:szCs w:val="18"/>
      </w:rPr>
      <w:t>pen enrollment e-blast, article</w:t>
    </w:r>
    <w:r w:rsidRPr="00BF5FFD">
      <w:rPr>
        <w:rFonts w:ascii="Times New Roman" w:hAnsi="Times New Roman"/>
        <w:color w:val="1260A7"/>
        <w:sz w:val="18"/>
        <w:szCs w:val="18"/>
      </w:rPr>
      <w:tab/>
    </w:r>
    <w:r w:rsidRPr="00BF5FFD">
      <w:rPr>
        <w:rFonts w:ascii="Times New Roman" w:hAnsi="Times New Roman"/>
        <w:color w:val="063A68"/>
        <w:sz w:val="18"/>
        <w:szCs w:val="18"/>
      </w:rPr>
      <w:t xml:space="preserve">│ </w:t>
    </w:r>
    <w:r w:rsidRPr="00BF5FFD">
      <w:rPr>
        <w:rFonts w:ascii="Times New Roman" w:hAnsi="Times New Roman"/>
        <w:color w:val="063A68"/>
        <w:sz w:val="18"/>
        <w:szCs w:val="18"/>
      </w:rPr>
      <w:fldChar w:fldCharType="begin"/>
    </w:r>
    <w:r w:rsidRPr="00BF5FFD">
      <w:rPr>
        <w:rFonts w:ascii="Times New Roman" w:hAnsi="Times New Roman"/>
        <w:color w:val="063A68"/>
        <w:sz w:val="18"/>
        <w:szCs w:val="18"/>
      </w:rPr>
      <w:instrText xml:space="preserve"> PAGE   \* MERGEFORMAT </w:instrText>
    </w:r>
    <w:r w:rsidRPr="00BF5FFD">
      <w:rPr>
        <w:rFonts w:ascii="Times New Roman" w:hAnsi="Times New Roman"/>
        <w:color w:val="063A68"/>
        <w:sz w:val="18"/>
        <w:szCs w:val="18"/>
      </w:rPr>
      <w:fldChar w:fldCharType="separate"/>
    </w:r>
    <w:r w:rsidRPr="00BF5FFD">
      <w:rPr>
        <w:rFonts w:ascii="Times New Roman" w:hAnsi="Times New Roman"/>
        <w:color w:val="063A68"/>
        <w:sz w:val="18"/>
        <w:szCs w:val="18"/>
      </w:rPr>
      <w:t>1</w:t>
    </w:r>
    <w:r w:rsidRPr="00BF5FFD">
      <w:rPr>
        <w:rFonts w:ascii="Times New Roman" w:hAnsi="Times New Roman"/>
        <w:noProof/>
        <w:color w:val="063A68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CE95F" w14:textId="5CC51240" w:rsidR="00DD4F35" w:rsidRPr="00BF5FFD" w:rsidRDefault="00DD4F35" w:rsidP="00F479F1">
    <w:pPr>
      <w:pStyle w:val="Footer"/>
      <w:ind w:left="-1080" w:right="-1080"/>
      <w:rPr>
        <w:rFonts w:ascii="Times New Roman" w:hAnsi="Times New Roman"/>
        <w:b/>
        <w:noProof/>
        <w:color w:val="063A68"/>
        <w:sz w:val="18"/>
        <w:szCs w:val="18"/>
      </w:rPr>
    </w:pPr>
    <w:r>
      <w:rPr>
        <w:rFonts w:ascii="Times New Roman" w:hAnsi="Times New Roman"/>
        <w:b/>
        <w:color w:val="063A68"/>
        <w:sz w:val="18"/>
        <w:szCs w:val="18"/>
      </w:rPr>
      <w:t>O</w:t>
    </w:r>
    <w:r w:rsidRPr="00BF5FFD">
      <w:rPr>
        <w:rFonts w:ascii="Times New Roman" w:hAnsi="Times New Roman"/>
        <w:b/>
        <w:color w:val="063A68"/>
        <w:sz w:val="18"/>
        <w:szCs w:val="18"/>
      </w:rPr>
      <w:t xml:space="preserve">pen enrollment </w:t>
    </w:r>
    <w:r>
      <w:rPr>
        <w:rFonts w:ascii="Times New Roman" w:hAnsi="Times New Roman"/>
        <w:b/>
        <w:color w:val="063A68"/>
        <w:sz w:val="18"/>
        <w:szCs w:val="18"/>
      </w:rPr>
      <w:t xml:space="preserve">2024 </w:t>
    </w:r>
    <w:r w:rsidR="00F13099">
      <w:rPr>
        <w:rFonts w:ascii="Times New Roman" w:hAnsi="Times New Roman"/>
        <w:b/>
        <w:color w:val="063A68"/>
        <w:sz w:val="18"/>
        <w:szCs w:val="18"/>
      </w:rPr>
      <w:t>social media posts</w:t>
    </w:r>
  </w:p>
  <w:p w14:paraId="46D1A792" w14:textId="626BB795" w:rsidR="00DD4F35" w:rsidRPr="00BF5FFD" w:rsidRDefault="00DD4F35" w:rsidP="00F479F1">
    <w:pPr>
      <w:pStyle w:val="Footer"/>
      <w:tabs>
        <w:tab w:val="clear" w:pos="4680"/>
        <w:tab w:val="clear" w:pos="9360"/>
        <w:tab w:val="right" w:pos="10440"/>
      </w:tabs>
      <w:ind w:left="-1080" w:right="-1080"/>
      <w:rPr>
        <w:rFonts w:ascii="Times New Roman" w:hAnsi="Times New Roman"/>
        <w:noProof/>
        <w:color w:val="063A68"/>
        <w:sz w:val="18"/>
        <w:szCs w:val="18"/>
      </w:rPr>
    </w:pPr>
    <w:r w:rsidRPr="00BF5FFD">
      <w:rPr>
        <w:rFonts w:ascii="Times New Roman" w:hAnsi="Times New Roman"/>
        <w:color w:val="858585"/>
        <w:sz w:val="18"/>
        <w:szCs w:val="18"/>
      </w:rPr>
      <w:t>SCPEBA 0</w:t>
    </w:r>
    <w:r w:rsidR="00257923">
      <w:rPr>
        <w:rFonts w:ascii="Times New Roman" w:hAnsi="Times New Roman"/>
        <w:color w:val="858585"/>
        <w:sz w:val="18"/>
        <w:szCs w:val="18"/>
      </w:rPr>
      <w:t>8</w:t>
    </w:r>
    <w:r w:rsidRPr="00BF5FFD">
      <w:rPr>
        <w:rFonts w:ascii="Times New Roman" w:hAnsi="Times New Roman"/>
        <w:color w:val="858585"/>
        <w:sz w:val="18"/>
        <w:szCs w:val="18"/>
      </w:rPr>
      <w:t>202</w:t>
    </w:r>
    <w:r>
      <w:rPr>
        <w:rFonts w:ascii="Times New Roman" w:hAnsi="Times New Roman"/>
        <w:color w:val="858585"/>
        <w:sz w:val="18"/>
        <w:szCs w:val="18"/>
      </w:rPr>
      <w:t xml:space="preserve">4 </w:t>
    </w:r>
    <w:r w:rsidRPr="00BF5FFD">
      <w:rPr>
        <w:rFonts w:ascii="Times New Roman" w:hAnsi="Times New Roman"/>
        <w:color w:val="858585"/>
        <w:sz w:val="18"/>
        <w:szCs w:val="18"/>
      </w:rPr>
      <w:t>| Expires 103120</w:t>
    </w:r>
    <w:r>
      <w:rPr>
        <w:rFonts w:ascii="Times New Roman" w:hAnsi="Times New Roman"/>
        <w:color w:val="858585"/>
        <w:sz w:val="18"/>
        <w:szCs w:val="18"/>
      </w:rPr>
      <w:t>24</w:t>
    </w:r>
    <w:r w:rsidRPr="00BF5FFD">
      <w:rPr>
        <w:rFonts w:ascii="Times New Roman" w:hAnsi="Times New Roman"/>
        <w:color w:val="1260A7"/>
        <w:sz w:val="18"/>
        <w:szCs w:val="18"/>
      </w:rPr>
      <w:tab/>
    </w:r>
    <w:r w:rsidRPr="00BF5FFD">
      <w:rPr>
        <w:rFonts w:ascii="Times New Roman" w:hAnsi="Times New Roman"/>
        <w:color w:val="063A68"/>
        <w:sz w:val="18"/>
        <w:szCs w:val="18"/>
      </w:rPr>
      <w:t xml:space="preserve">│ </w:t>
    </w:r>
    <w:r w:rsidRPr="00BF5FFD">
      <w:rPr>
        <w:rFonts w:ascii="Times New Roman" w:hAnsi="Times New Roman"/>
        <w:color w:val="063A68"/>
        <w:sz w:val="18"/>
        <w:szCs w:val="18"/>
      </w:rPr>
      <w:fldChar w:fldCharType="begin"/>
    </w:r>
    <w:r w:rsidRPr="00BF5FFD">
      <w:rPr>
        <w:rFonts w:ascii="Times New Roman" w:hAnsi="Times New Roman"/>
        <w:color w:val="063A68"/>
        <w:sz w:val="18"/>
        <w:szCs w:val="18"/>
      </w:rPr>
      <w:instrText xml:space="preserve"> PAGE   \* MERGEFORMAT </w:instrText>
    </w:r>
    <w:r w:rsidRPr="00BF5FFD">
      <w:rPr>
        <w:rFonts w:ascii="Times New Roman" w:hAnsi="Times New Roman"/>
        <w:color w:val="063A68"/>
        <w:sz w:val="18"/>
        <w:szCs w:val="18"/>
      </w:rPr>
      <w:fldChar w:fldCharType="separate"/>
    </w:r>
    <w:r w:rsidRPr="00BF5FFD">
      <w:rPr>
        <w:rFonts w:ascii="Times New Roman" w:hAnsi="Times New Roman"/>
        <w:color w:val="063A68"/>
        <w:sz w:val="18"/>
        <w:szCs w:val="18"/>
      </w:rPr>
      <w:t>1</w:t>
    </w:r>
    <w:r w:rsidRPr="00BF5FFD">
      <w:rPr>
        <w:rFonts w:ascii="Times New Roman" w:hAnsi="Times New Roman"/>
        <w:noProof/>
        <w:color w:val="063A68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A225C" w14:textId="77777777" w:rsidR="00DD4F35" w:rsidRDefault="00DD4F35" w:rsidP="00DD4F35">
      <w:pPr>
        <w:spacing w:after="0" w:line="240" w:lineRule="auto"/>
      </w:pPr>
      <w:r>
        <w:separator/>
      </w:r>
    </w:p>
  </w:footnote>
  <w:footnote w:type="continuationSeparator" w:id="0">
    <w:p w14:paraId="3F433C51" w14:textId="77777777" w:rsidR="00DD4F35" w:rsidRDefault="00DD4F35" w:rsidP="00DD4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90AF" w14:textId="77777777" w:rsidR="00DD4F35" w:rsidRDefault="00DD4F35" w:rsidP="00940628">
    <w:pPr>
      <w:pStyle w:val="Header"/>
      <w:tabs>
        <w:tab w:val="clear" w:pos="4680"/>
        <w:tab w:val="clear" w:pos="9360"/>
      </w:tabs>
      <w:spacing w:after="600"/>
      <w:ind w:left="-1080" w:right="-1080"/>
      <w:jc w:val="center"/>
    </w:pPr>
    <w:r w:rsidRPr="005217F5">
      <w:rPr>
        <w:noProof/>
      </w:rPr>
      <w:drawing>
        <wp:inline distT="0" distB="0" distL="0" distR="0" wp14:anchorId="195AE568" wp14:editId="4F1F7EE7">
          <wp:extent cx="6993255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325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026ED"/>
    <w:multiLevelType w:val="hybridMultilevel"/>
    <w:tmpl w:val="AF4EE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C69A5"/>
    <w:multiLevelType w:val="hybridMultilevel"/>
    <w:tmpl w:val="853AA8B2"/>
    <w:lvl w:ilvl="0" w:tplc="5FDE519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048542">
    <w:abstractNumId w:val="1"/>
  </w:num>
  <w:num w:numId="2" w16cid:durableId="84228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E3"/>
    <w:rsid w:val="00257923"/>
    <w:rsid w:val="00752EC9"/>
    <w:rsid w:val="00A7024F"/>
    <w:rsid w:val="00B16FA0"/>
    <w:rsid w:val="00DD4F35"/>
    <w:rsid w:val="00F13099"/>
    <w:rsid w:val="00FB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E7886"/>
  <w15:chartTrackingRefBased/>
  <w15:docId w15:val="{7B62AE26-4B0C-440E-BC5F-F341727D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D4F35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F35"/>
    <w:pPr>
      <w:suppressAutoHyphens/>
      <w:autoSpaceDE w:val="0"/>
      <w:autoSpaceDN w:val="0"/>
      <w:adjustRightInd w:val="0"/>
      <w:spacing w:after="120"/>
      <w:textAlignment w:val="center"/>
      <w:outlineLvl w:val="0"/>
    </w:pPr>
    <w:rPr>
      <w:rFonts w:ascii="Times New Roman" w:hAnsi="Times New Roman"/>
      <w:b/>
      <w:color w:val="1260A7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F35"/>
    <w:pPr>
      <w:autoSpaceDE w:val="0"/>
      <w:autoSpaceDN w:val="0"/>
      <w:adjustRightInd w:val="0"/>
      <w:spacing w:after="120"/>
      <w:textAlignment w:val="center"/>
      <w:outlineLvl w:val="1"/>
    </w:pPr>
    <w:rPr>
      <w:rFonts w:ascii="Times New Roman" w:hAnsi="Times New Roman"/>
      <w:color w:val="1260A7"/>
      <w:sz w:val="30"/>
      <w:szCs w:val="30"/>
    </w:rPr>
  </w:style>
  <w:style w:type="paragraph" w:styleId="Heading6">
    <w:name w:val="heading 6"/>
    <w:aliases w:val="Subhead 1"/>
    <w:basedOn w:val="Heading2"/>
    <w:next w:val="Normal"/>
    <w:link w:val="Heading6Char"/>
    <w:uiPriority w:val="9"/>
    <w:unhideWhenUsed/>
    <w:qFormat/>
    <w:rsid w:val="00DD4F35"/>
    <w:pPr>
      <w:outlineLvl w:val="5"/>
    </w:pPr>
    <w:rPr>
      <w:b/>
      <w:color w:val="auto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F35"/>
    <w:rPr>
      <w:rFonts w:ascii="Times New Roman" w:eastAsia="Calibri" w:hAnsi="Times New Roman" w:cs="Times New Roman"/>
      <w:b/>
      <w:color w:val="1260A7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D4F35"/>
    <w:rPr>
      <w:rFonts w:ascii="Times New Roman" w:eastAsia="Calibri" w:hAnsi="Times New Roman" w:cs="Times New Roman"/>
      <w:color w:val="1260A7"/>
      <w:kern w:val="0"/>
      <w:sz w:val="30"/>
      <w:szCs w:val="30"/>
      <w14:ligatures w14:val="none"/>
    </w:rPr>
  </w:style>
  <w:style w:type="character" w:customStyle="1" w:styleId="Heading6Char">
    <w:name w:val="Heading 6 Char"/>
    <w:aliases w:val="Subhead 1 Char"/>
    <w:basedOn w:val="DefaultParagraphFont"/>
    <w:link w:val="Heading6"/>
    <w:uiPriority w:val="9"/>
    <w:rsid w:val="00DD4F35"/>
    <w:rPr>
      <w:rFonts w:ascii="Times New Roman" w:eastAsia="Calibri" w:hAnsi="Times New Roman" w:cs="Times New Roman"/>
      <w:b/>
      <w:kern w:val="0"/>
      <w:sz w:val="24"/>
      <w:szCs w:val="24"/>
      <w14:ligatures w14:val="none"/>
    </w:rPr>
  </w:style>
  <w:style w:type="paragraph" w:styleId="ListParagraph">
    <w:name w:val="List Paragraph"/>
    <w:aliases w:val="Bulleted List"/>
    <w:basedOn w:val="Normal"/>
    <w:uiPriority w:val="34"/>
    <w:qFormat/>
    <w:rsid w:val="00DD4F35"/>
    <w:pPr>
      <w:numPr>
        <w:numId w:val="1"/>
      </w:numPr>
      <w:contextualSpacing/>
    </w:pPr>
    <w:rPr>
      <w:iCs/>
    </w:rPr>
  </w:style>
  <w:style w:type="paragraph" w:styleId="Header">
    <w:name w:val="header"/>
    <w:basedOn w:val="Normal"/>
    <w:link w:val="HeaderChar"/>
    <w:uiPriority w:val="99"/>
    <w:unhideWhenUsed/>
    <w:rsid w:val="00DD4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F35"/>
    <w:rPr>
      <w:rFonts w:ascii="Calibri" w:eastAsia="Calibri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4F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F35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DD4F35"/>
    <w:rPr>
      <w:color w:val="568EC1"/>
      <w:u w:val="single"/>
    </w:rPr>
  </w:style>
  <w:style w:type="paragraph" w:styleId="Revision">
    <w:name w:val="Revision"/>
    <w:hidden/>
    <w:uiPriority w:val="99"/>
    <w:semiHidden/>
    <w:rsid w:val="00B16FA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Spacing">
    <w:name w:val="No Spacing"/>
    <w:aliases w:val="Subhead 2"/>
    <w:uiPriority w:val="1"/>
    <w:qFormat/>
    <w:rsid w:val="00F13099"/>
    <w:pPr>
      <w:spacing w:after="0" w:line="240" w:lineRule="auto"/>
    </w:pPr>
    <w:rPr>
      <w:rFonts w:ascii="Calibri" w:eastAsia="Calibri" w:hAnsi="Calibri" w:cs="Times New Roman"/>
      <w:b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ba.sc.gov/o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peba.sc.gov/oe" TargetMode="External"/><Relationship Id="rId12" Type="http://schemas.openxmlformats.org/officeDocument/2006/relationships/hyperlink" Target="http://www.peba.sc.gov/o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eba.sc.gov/o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peba.sc.gov/o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eba.sc.gov/o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Godes</dc:creator>
  <cp:keywords/>
  <dc:description/>
  <cp:lastModifiedBy>Heather H. Young</cp:lastModifiedBy>
  <cp:revision>2</cp:revision>
  <dcterms:created xsi:type="dcterms:W3CDTF">2024-08-20T14:58:00Z</dcterms:created>
  <dcterms:modified xsi:type="dcterms:W3CDTF">2024-08-20T14:58:00Z</dcterms:modified>
</cp:coreProperties>
</file>